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9" w:lineRule="auto" w:before="65"/>
        <w:ind w:left="7503" w:right="360" w:hanging="561"/>
        <w:jc w:val="right"/>
      </w:pPr>
      <w:r>
        <w:rPr/>
        <w:drawing>
          <wp:anchor distT="0" distB="0" distL="0" distR="0" allowOverlap="1" layoutInCell="1" locked="0" behindDoc="0" simplePos="0" relativeHeight="15728640">
            <wp:simplePos x="0" y="0"/>
            <wp:positionH relativeFrom="page">
              <wp:posOffset>484886</wp:posOffset>
            </wp:positionH>
            <wp:positionV relativeFrom="paragraph">
              <wp:posOffset>8501</wp:posOffset>
            </wp:positionV>
            <wp:extent cx="3060786" cy="618183"/>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6" cstate="print"/>
                    <a:stretch>
                      <a:fillRect/>
                    </a:stretch>
                  </pic:blipFill>
                  <pic:spPr>
                    <a:xfrm>
                      <a:off x="0" y="0"/>
                      <a:ext cx="3060786" cy="618183"/>
                    </a:xfrm>
                    <a:prstGeom prst="rect">
                      <a:avLst/>
                    </a:prstGeom>
                  </pic:spPr>
                </pic:pic>
              </a:graphicData>
            </a:graphic>
          </wp:anchor>
        </w:drawing>
      </w:r>
      <w:r>
        <w:rPr/>
        <w:t>Estimated</w:t>
      </w:r>
      <w:r>
        <w:rPr>
          <w:spacing w:val="-10"/>
        </w:rPr>
        <w:t> </w:t>
      </w:r>
      <w:r>
        <w:rPr/>
        <w:t>Low</w:t>
      </w:r>
      <w:r>
        <w:rPr>
          <w:spacing w:val="-10"/>
        </w:rPr>
        <w:t> </w:t>
      </w:r>
      <w:r>
        <w:rPr/>
        <w:t>Income</w:t>
      </w:r>
      <w:r>
        <w:rPr>
          <w:spacing w:val="-10"/>
        </w:rPr>
        <w:t> </w:t>
      </w:r>
      <w:r>
        <w:rPr/>
        <w:t>Home</w:t>
      </w:r>
      <w:r>
        <w:rPr>
          <w:spacing w:val="-10"/>
        </w:rPr>
        <w:t> </w:t>
      </w:r>
      <w:r>
        <w:rPr/>
        <w:t>Energy Assistance Program (LIHEAP) Benefit</w:t>
      </w:r>
      <w:r>
        <w:rPr>
          <w:spacing w:val="-3"/>
        </w:rPr>
        <w:t> </w:t>
      </w:r>
      <w:r>
        <w:rPr/>
        <w:t>Level for</w:t>
      </w:r>
      <w:r>
        <w:rPr>
          <w:spacing w:val="-1"/>
        </w:rPr>
        <w:t> </w:t>
      </w:r>
      <w:r>
        <w:rPr/>
        <w:t>all </w:t>
      </w:r>
      <w:r>
        <w:rPr>
          <w:spacing w:val="-2"/>
        </w:rPr>
        <w:t>Households</w:t>
      </w:r>
    </w:p>
    <w:p>
      <w:pPr>
        <w:pStyle w:val="BodyText"/>
        <w:rPr>
          <w:b/>
        </w:rPr>
      </w:pPr>
    </w:p>
    <w:p>
      <w:pPr>
        <w:pStyle w:val="BodyText"/>
        <w:spacing w:before="150"/>
        <w:rPr>
          <w:b/>
        </w:rPr>
      </w:pPr>
    </w:p>
    <w:p>
      <w:pPr>
        <w:pStyle w:val="BodyText"/>
        <w:spacing w:line="249" w:lineRule="auto"/>
        <w:ind w:left="460" w:right="419"/>
      </w:pPr>
      <w:r>
        <w:rPr/>
        <w:t>Funding for LIHEAP is contingent on the receipt of federal funds and the amount authorized varies from</w:t>
      </w:r>
      <w:r>
        <w:rPr>
          <w:spacing w:val="-3"/>
        </w:rPr>
        <w:t> </w:t>
      </w:r>
      <w:r>
        <w:rPr/>
        <w:t>year-to-year.</w:t>
      </w:r>
      <w:r>
        <w:rPr>
          <w:spacing w:val="-3"/>
        </w:rPr>
        <w:t> </w:t>
      </w:r>
      <w:r>
        <w:rPr/>
        <w:t>Benefit</w:t>
      </w:r>
      <w:r>
        <w:rPr>
          <w:spacing w:val="-3"/>
        </w:rPr>
        <w:t> </w:t>
      </w:r>
      <w:r>
        <w:rPr/>
        <w:t>amounts</w:t>
      </w:r>
      <w:r>
        <w:rPr>
          <w:spacing w:val="-3"/>
        </w:rPr>
        <w:t> </w:t>
      </w:r>
      <w:r>
        <w:rPr/>
        <w:t>are</w:t>
      </w:r>
      <w:r>
        <w:rPr>
          <w:spacing w:val="-3"/>
        </w:rPr>
        <w:t> </w:t>
      </w:r>
      <w:r>
        <w:rPr/>
        <w:t>estimated</w:t>
      </w:r>
      <w:r>
        <w:rPr>
          <w:spacing w:val="-3"/>
        </w:rPr>
        <w:t> </w:t>
      </w:r>
      <w:r>
        <w:rPr/>
        <w:t>and</w:t>
      </w:r>
      <w:r>
        <w:rPr>
          <w:spacing w:val="-3"/>
        </w:rPr>
        <w:t> </w:t>
      </w:r>
      <w:r>
        <w:rPr/>
        <w:t>reserved</w:t>
      </w:r>
      <w:r>
        <w:rPr>
          <w:spacing w:val="-3"/>
        </w:rPr>
        <w:t> </w:t>
      </w:r>
      <w:r>
        <w:rPr/>
        <w:t>for</w:t>
      </w:r>
      <w:r>
        <w:rPr>
          <w:spacing w:val="-3"/>
        </w:rPr>
        <w:t> </w:t>
      </w:r>
      <w:r>
        <w:rPr/>
        <w:t>the</w:t>
      </w:r>
      <w:r>
        <w:rPr>
          <w:spacing w:val="-3"/>
        </w:rPr>
        <w:t> </w:t>
      </w:r>
      <w:r>
        <w:rPr/>
        <w:t>three</w:t>
      </w:r>
      <w:r>
        <w:rPr>
          <w:spacing w:val="-3"/>
        </w:rPr>
        <w:t> </w:t>
      </w:r>
      <w:r>
        <w:rPr/>
        <w:t>components</w:t>
      </w:r>
      <w:r>
        <w:rPr>
          <w:spacing w:val="-3"/>
        </w:rPr>
        <w:t> </w:t>
      </w:r>
      <w:r>
        <w:rPr/>
        <w:t>of</w:t>
      </w:r>
      <w:r>
        <w:rPr>
          <w:spacing w:val="-3"/>
        </w:rPr>
        <w:t> </w:t>
      </w:r>
      <w:r>
        <w:rPr/>
        <w:t>LIHEAP administered by OKDHS on a yearly basis after the amount of available funding is known. Benefit amounts may be adjusted according to changes in available funding or anticipated need at the end of the application period. To determine maximum income and resource levels for LIHEAP, use OKDHS</w:t>
      </w:r>
      <w:r>
        <w:rPr>
          <w:spacing w:val="-1"/>
        </w:rPr>
        <w:t> </w:t>
      </w:r>
      <w:r>
        <w:rPr>
          <w:color w:val="0000FF"/>
          <w:u w:val="single" w:color="0000FF"/>
        </w:rPr>
        <w:t>Appendix</w:t>
      </w:r>
      <w:r>
        <w:rPr>
          <w:color w:val="0000FF"/>
          <w:spacing w:val="-1"/>
          <w:u w:val="single" w:color="0000FF"/>
        </w:rPr>
        <w:t> </w:t>
      </w:r>
      <w:r>
        <w:rPr>
          <w:color w:val="0000FF"/>
          <w:u w:val="single" w:color="0000FF"/>
        </w:rPr>
        <w:t>C</w:t>
      </w:r>
      <w:r>
        <w:rPr>
          <w:color w:val="0000FF"/>
          <w:spacing w:val="-1"/>
          <w:u w:val="single" w:color="0000FF"/>
        </w:rPr>
        <w:t> </w:t>
      </w:r>
      <w:r>
        <w:rPr>
          <w:color w:val="0000FF"/>
          <w:u w:val="single" w:color="0000FF"/>
        </w:rPr>
        <w:t>7,</w:t>
      </w:r>
      <w:r>
        <w:rPr>
          <w:color w:val="0000FF"/>
          <w:spacing w:val="-1"/>
          <w:u w:val="single" w:color="0000FF"/>
        </w:rPr>
        <w:t> </w:t>
      </w:r>
      <w:r>
        <w:rPr>
          <w:color w:val="0000FF"/>
          <w:u w:val="single" w:color="0000FF"/>
        </w:rPr>
        <w:t>Low</w:t>
      </w:r>
      <w:r>
        <w:rPr>
          <w:color w:val="0000FF"/>
          <w:spacing w:val="-1"/>
          <w:u w:val="single" w:color="0000FF"/>
        </w:rPr>
        <w:t> </w:t>
      </w:r>
      <w:r>
        <w:rPr>
          <w:color w:val="0000FF"/>
          <w:u w:val="single" w:color="0000FF"/>
        </w:rPr>
        <w:t>Income</w:t>
      </w:r>
      <w:r>
        <w:rPr>
          <w:color w:val="0000FF"/>
          <w:spacing w:val="-1"/>
          <w:u w:val="single" w:color="0000FF"/>
        </w:rPr>
        <w:t> </w:t>
      </w:r>
      <w:r>
        <w:rPr>
          <w:color w:val="0000FF"/>
          <w:u w:val="single" w:color="0000FF"/>
        </w:rPr>
        <w:t>Home</w:t>
      </w:r>
      <w:r>
        <w:rPr>
          <w:color w:val="0000FF"/>
          <w:spacing w:val="-1"/>
          <w:u w:val="single" w:color="0000FF"/>
        </w:rPr>
        <w:t> </w:t>
      </w:r>
      <w:r>
        <w:rPr>
          <w:color w:val="0000FF"/>
          <w:u w:val="single" w:color="0000FF"/>
        </w:rPr>
        <w:t>Energy</w:t>
      </w:r>
      <w:r>
        <w:rPr>
          <w:color w:val="0000FF"/>
          <w:spacing w:val="-1"/>
          <w:u w:val="single" w:color="0000FF"/>
        </w:rPr>
        <w:t> </w:t>
      </w:r>
      <w:r>
        <w:rPr>
          <w:color w:val="0000FF"/>
          <w:u w:val="single" w:color="0000FF"/>
        </w:rPr>
        <w:t>Assistance</w:t>
      </w:r>
      <w:r>
        <w:rPr>
          <w:color w:val="0000FF"/>
          <w:spacing w:val="-1"/>
          <w:u w:val="single" w:color="0000FF"/>
        </w:rPr>
        <w:t> </w:t>
      </w:r>
      <w:r>
        <w:rPr>
          <w:color w:val="0000FF"/>
          <w:u w:val="single" w:color="0000FF"/>
        </w:rPr>
        <w:t>Program</w:t>
      </w:r>
      <w:r>
        <w:rPr>
          <w:color w:val="0000FF"/>
          <w:spacing w:val="-1"/>
          <w:u w:val="single" w:color="0000FF"/>
        </w:rPr>
        <w:t> </w:t>
      </w:r>
      <w:r>
        <w:rPr>
          <w:color w:val="0000FF"/>
          <w:u w:val="single" w:color="0000FF"/>
        </w:rPr>
        <w:t>Income</w:t>
      </w:r>
      <w:r>
        <w:rPr>
          <w:color w:val="0000FF"/>
          <w:spacing w:val="-1"/>
          <w:u w:val="single" w:color="0000FF"/>
        </w:rPr>
        <w:t> </w:t>
      </w:r>
      <w:r>
        <w:rPr>
          <w:color w:val="0000FF"/>
          <w:u w:val="single" w:color="0000FF"/>
        </w:rPr>
        <w:t>and</w:t>
      </w:r>
      <w:r>
        <w:rPr>
          <w:color w:val="0000FF"/>
          <w:spacing w:val="-1"/>
          <w:u w:val="single" w:color="0000FF"/>
        </w:rPr>
        <w:t> </w:t>
      </w:r>
      <w:r>
        <w:rPr>
          <w:color w:val="0000FF"/>
          <w:u w:val="single" w:color="0000FF"/>
        </w:rPr>
        <w:t>Resource</w:t>
      </w:r>
      <w:r>
        <w:rPr>
          <w:color w:val="0000FF"/>
          <w:spacing w:val="-1"/>
          <w:u w:val="single" w:color="0000FF"/>
        </w:rPr>
        <w:t> </w:t>
      </w:r>
      <w:r>
        <w:rPr>
          <w:color w:val="0000FF"/>
          <w:u w:val="single" w:color="0000FF"/>
        </w:rPr>
        <w:t>Level</w:t>
      </w:r>
      <w:r>
        <w:rPr>
          <w:color w:val="0000FF"/>
          <w:u w:val="none"/>
        </w:rPr>
        <w:t> </w:t>
      </w:r>
      <w:r>
        <w:rPr>
          <w:color w:val="0000FF"/>
          <w:u w:val="single" w:color="0000FF"/>
        </w:rPr>
        <w:t>by Household Size</w:t>
      </w:r>
      <w:r>
        <w:rPr>
          <w:u w:val="none"/>
        </w:rPr>
        <w:t>.</w:t>
      </w:r>
    </w:p>
    <w:p>
      <w:pPr>
        <w:pStyle w:val="BodyText"/>
        <w:spacing w:before="219"/>
      </w:pPr>
    </w:p>
    <w:p>
      <w:pPr>
        <w:pStyle w:val="Heading1"/>
        <w:tabs>
          <w:tab w:pos="11159" w:val="left" w:leader="none"/>
        </w:tabs>
      </w:pPr>
      <w:r>
        <w:rPr>
          <w:color w:val="FFFFFF"/>
          <w:spacing w:val="29"/>
          <w:shd w:fill="0080AA" w:color="auto" w:val="clear"/>
        </w:rPr>
        <w:t> </w:t>
      </w:r>
      <w:r>
        <w:rPr>
          <w:color w:val="FFFFFF"/>
          <w:shd w:fill="0080AA" w:color="auto" w:val="clear"/>
        </w:rPr>
        <w:t>Winter</w:t>
      </w:r>
      <w:r>
        <w:rPr>
          <w:color w:val="FFFFFF"/>
          <w:spacing w:val="-1"/>
          <w:shd w:fill="0080AA" w:color="auto" w:val="clear"/>
        </w:rPr>
        <w:t> </w:t>
      </w:r>
      <w:r>
        <w:rPr>
          <w:color w:val="FFFFFF"/>
          <w:shd w:fill="0080AA" w:color="auto" w:val="clear"/>
        </w:rPr>
        <w:t>Heating</w:t>
      </w:r>
      <w:r>
        <w:rPr>
          <w:color w:val="FFFFFF"/>
          <w:spacing w:val="-1"/>
          <w:shd w:fill="0080AA" w:color="auto" w:val="clear"/>
        </w:rPr>
        <w:t> </w:t>
      </w:r>
      <w:r>
        <w:rPr>
          <w:color w:val="FFFFFF"/>
          <w:spacing w:val="-2"/>
          <w:shd w:fill="0080AA" w:color="auto" w:val="clear"/>
        </w:rPr>
        <w:t>Program</w:t>
      </w:r>
      <w:r>
        <w:rPr>
          <w:color w:val="FFFFFF"/>
          <w:shd w:fill="0080AA" w:color="auto" w:val="clear"/>
        </w:rPr>
        <w:tab/>
      </w:r>
    </w:p>
    <w:p>
      <w:pPr>
        <w:pStyle w:val="BodyText"/>
        <w:spacing w:line="249" w:lineRule="auto" w:before="212"/>
        <w:ind w:left="460" w:right="1132"/>
        <w:jc w:val="both"/>
      </w:pPr>
      <w:r>
        <w:rPr/>
        <w:t>A</w:t>
      </w:r>
      <w:r>
        <w:rPr>
          <w:spacing w:val="-3"/>
        </w:rPr>
        <w:t> </w:t>
      </w:r>
      <w:r>
        <w:rPr/>
        <w:t>designated</w:t>
      </w:r>
      <w:r>
        <w:rPr>
          <w:spacing w:val="-3"/>
        </w:rPr>
        <w:t> </w:t>
      </w:r>
      <w:r>
        <w:rPr/>
        <w:t>LIHEAP</w:t>
      </w:r>
      <w:r>
        <w:rPr>
          <w:spacing w:val="-3"/>
        </w:rPr>
        <w:t> </w:t>
      </w:r>
      <w:r>
        <w:rPr/>
        <w:t>winter</w:t>
      </w:r>
      <w:r>
        <w:rPr>
          <w:spacing w:val="-3"/>
        </w:rPr>
        <w:t> </w:t>
      </w:r>
      <w:r>
        <w:rPr/>
        <w:t>heating</w:t>
      </w:r>
      <w:r>
        <w:rPr>
          <w:spacing w:val="-3"/>
        </w:rPr>
        <w:t> </w:t>
      </w:r>
      <w:r>
        <w:rPr/>
        <w:t>application</w:t>
      </w:r>
      <w:r>
        <w:rPr>
          <w:spacing w:val="-3"/>
        </w:rPr>
        <w:t> </w:t>
      </w:r>
      <w:r>
        <w:rPr/>
        <w:t>period</w:t>
      </w:r>
      <w:r>
        <w:rPr>
          <w:spacing w:val="-3"/>
        </w:rPr>
        <w:t> </w:t>
      </w:r>
      <w:r>
        <w:rPr/>
        <w:t>is</w:t>
      </w:r>
      <w:r>
        <w:rPr>
          <w:spacing w:val="-3"/>
        </w:rPr>
        <w:t> </w:t>
      </w:r>
      <w:r>
        <w:rPr/>
        <w:t>opened</w:t>
      </w:r>
      <w:r>
        <w:rPr>
          <w:spacing w:val="-3"/>
        </w:rPr>
        <w:t> </w:t>
      </w:r>
      <w:r>
        <w:rPr/>
        <w:t>each</w:t>
      </w:r>
      <w:r>
        <w:rPr>
          <w:spacing w:val="-3"/>
        </w:rPr>
        <w:t> </w:t>
      </w:r>
      <w:r>
        <w:rPr/>
        <w:t>year</w:t>
      </w:r>
      <w:r>
        <w:rPr>
          <w:spacing w:val="-3"/>
        </w:rPr>
        <w:t> </w:t>
      </w:r>
      <w:r>
        <w:rPr/>
        <w:t>federal</w:t>
      </w:r>
      <w:r>
        <w:rPr>
          <w:spacing w:val="-3"/>
        </w:rPr>
        <w:t> </w:t>
      </w:r>
      <w:r>
        <w:rPr/>
        <w:t>funds</w:t>
      </w:r>
      <w:r>
        <w:rPr>
          <w:spacing w:val="-3"/>
        </w:rPr>
        <w:t> </w:t>
      </w:r>
      <w:r>
        <w:rPr/>
        <w:t>are issued</w:t>
      </w:r>
      <w:r>
        <w:rPr>
          <w:spacing w:val="-3"/>
        </w:rPr>
        <w:t> </w:t>
      </w:r>
      <w:r>
        <w:rPr/>
        <w:t>and</w:t>
      </w:r>
      <w:r>
        <w:rPr>
          <w:spacing w:val="-3"/>
        </w:rPr>
        <w:t> </w:t>
      </w:r>
      <w:r>
        <w:rPr/>
        <w:t>runs</w:t>
      </w:r>
      <w:r>
        <w:rPr>
          <w:spacing w:val="-3"/>
        </w:rPr>
        <w:t> </w:t>
      </w:r>
      <w:r>
        <w:rPr/>
        <w:t>until</w:t>
      </w:r>
      <w:r>
        <w:rPr>
          <w:spacing w:val="-3"/>
        </w:rPr>
        <w:t> </w:t>
      </w:r>
      <w:r>
        <w:rPr/>
        <w:t>reserve</w:t>
      </w:r>
      <w:r>
        <w:rPr>
          <w:spacing w:val="-3"/>
        </w:rPr>
        <w:t> </w:t>
      </w:r>
      <w:r>
        <w:rPr/>
        <w:t>funding</w:t>
      </w:r>
      <w:r>
        <w:rPr>
          <w:spacing w:val="-3"/>
        </w:rPr>
        <w:t> </w:t>
      </w:r>
      <w:r>
        <w:rPr/>
        <w:t>is</w:t>
      </w:r>
      <w:r>
        <w:rPr>
          <w:spacing w:val="-3"/>
        </w:rPr>
        <w:t> </w:t>
      </w:r>
      <w:r>
        <w:rPr/>
        <w:t>spent.</w:t>
      </w:r>
      <w:r>
        <w:rPr>
          <w:spacing w:val="-3"/>
        </w:rPr>
        <w:t> </w:t>
      </w:r>
      <w:r>
        <w:rPr/>
        <w:t>Refer</w:t>
      </w:r>
      <w:r>
        <w:rPr>
          <w:spacing w:val="-3"/>
        </w:rPr>
        <w:t> </w:t>
      </w:r>
      <w:r>
        <w:rPr/>
        <w:t>to</w:t>
      </w:r>
      <w:r>
        <w:rPr>
          <w:spacing w:val="-3"/>
        </w:rPr>
        <w:t> </w:t>
      </w:r>
      <w:r>
        <w:rPr/>
        <w:t>Oklahoma</w:t>
      </w:r>
      <w:r>
        <w:rPr>
          <w:spacing w:val="-3"/>
        </w:rPr>
        <w:t> </w:t>
      </w:r>
      <w:r>
        <w:rPr/>
        <w:t>Administrative</w:t>
      </w:r>
      <w:r>
        <w:rPr>
          <w:spacing w:val="-3"/>
        </w:rPr>
        <w:t> </w:t>
      </w:r>
      <w:r>
        <w:rPr/>
        <w:t>Code</w:t>
      </w:r>
      <w:r>
        <w:rPr>
          <w:spacing w:val="-3"/>
        </w:rPr>
        <w:t> </w:t>
      </w:r>
      <w:r>
        <w:rPr/>
        <w:t>(OAC) </w:t>
      </w:r>
      <w:r>
        <w:rPr>
          <w:color w:val="0000FF"/>
          <w:u w:val="single" w:color="0000FF"/>
        </w:rPr>
        <w:t>340:20-1-19</w:t>
      </w:r>
      <w:r>
        <w:rPr>
          <w:color w:val="0000FF"/>
          <w:u w:val="none"/>
        </w:rPr>
        <w:t> </w:t>
      </w:r>
      <w:r>
        <w:rPr>
          <w:u w:val="none"/>
        </w:rPr>
        <w:t>for program details.</w:t>
      </w:r>
    </w:p>
    <w:p>
      <w:pPr>
        <w:pStyle w:val="BodyText"/>
        <w:spacing w:before="4"/>
        <w:rPr>
          <w:sz w:val="9"/>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94"/>
        <w:gridCol w:w="2028"/>
        <w:gridCol w:w="2059"/>
        <w:gridCol w:w="2059"/>
        <w:gridCol w:w="2059"/>
      </w:tblGrid>
      <w:tr>
        <w:trPr>
          <w:trHeight w:val="886" w:hRule="atLeast"/>
        </w:trPr>
        <w:tc>
          <w:tcPr>
            <w:tcW w:w="2594" w:type="dxa"/>
            <w:tcBorders>
              <w:right w:val="single" w:sz="6" w:space="0" w:color="000000"/>
            </w:tcBorders>
            <w:shd w:val="clear" w:color="auto" w:fill="0080AA"/>
          </w:tcPr>
          <w:p>
            <w:pPr>
              <w:pStyle w:val="TableParagraph"/>
              <w:spacing w:line="249" w:lineRule="auto"/>
              <w:ind w:left="33" w:right="20"/>
              <w:rPr>
                <w:b/>
                <w:sz w:val="24"/>
              </w:rPr>
            </w:pPr>
            <w:r>
              <w:rPr>
                <w:b/>
                <w:color w:val="FFFFFF"/>
                <w:sz w:val="24"/>
              </w:rPr>
              <w:t>When</w:t>
            </w:r>
            <w:r>
              <w:rPr>
                <w:b/>
                <w:color w:val="FFFFFF"/>
                <w:spacing w:val="-17"/>
                <w:sz w:val="24"/>
              </w:rPr>
              <w:t> </w:t>
            </w:r>
            <w:r>
              <w:rPr>
                <w:b/>
                <w:color w:val="FFFFFF"/>
                <w:sz w:val="24"/>
              </w:rPr>
              <w:t>payment</w:t>
            </w:r>
            <w:r>
              <w:rPr>
                <w:b/>
                <w:color w:val="FFFFFF"/>
                <w:spacing w:val="-17"/>
                <w:sz w:val="24"/>
              </w:rPr>
              <w:t> </w:t>
            </w:r>
            <w:r>
              <w:rPr>
                <w:b/>
                <w:color w:val="FFFFFF"/>
                <w:sz w:val="24"/>
              </w:rPr>
              <w:t>is made to utility </w:t>
            </w:r>
            <w:r>
              <w:rPr>
                <w:b/>
                <w:color w:val="FFFFFF"/>
                <w:spacing w:val="-2"/>
                <w:sz w:val="24"/>
              </w:rPr>
              <w:t>company</w:t>
            </w:r>
          </w:p>
        </w:tc>
        <w:tc>
          <w:tcPr>
            <w:tcW w:w="2028" w:type="dxa"/>
            <w:tcBorders>
              <w:left w:val="single" w:sz="6" w:space="0" w:color="000000"/>
            </w:tcBorders>
          </w:tcPr>
          <w:p>
            <w:pPr>
              <w:pStyle w:val="TableParagraph"/>
              <w:spacing w:line="240" w:lineRule="auto" w:before="13"/>
              <w:ind w:left="0"/>
              <w:jc w:val="left"/>
              <w:rPr>
                <w:sz w:val="24"/>
              </w:rPr>
            </w:pPr>
          </w:p>
          <w:p>
            <w:pPr>
              <w:pStyle w:val="TableParagraph"/>
              <w:spacing w:line="240" w:lineRule="auto"/>
              <w:ind w:left="9"/>
              <w:rPr>
                <w:b/>
                <w:sz w:val="24"/>
              </w:rPr>
            </w:pPr>
            <w:r>
              <w:rPr>
                <w:b/>
                <w:sz w:val="24"/>
              </w:rPr>
              <w:t>Net</w:t>
            </w:r>
            <w:r>
              <w:rPr>
                <w:b/>
                <w:spacing w:val="-4"/>
                <w:sz w:val="24"/>
              </w:rPr>
              <w:t> </w:t>
            </w:r>
            <w:r>
              <w:rPr>
                <w:b/>
                <w:spacing w:val="-2"/>
                <w:sz w:val="24"/>
              </w:rPr>
              <w:t>Income</w:t>
            </w:r>
          </w:p>
        </w:tc>
        <w:tc>
          <w:tcPr>
            <w:tcW w:w="2059" w:type="dxa"/>
          </w:tcPr>
          <w:p>
            <w:pPr>
              <w:pStyle w:val="TableParagraph"/>
              <w:spacing w:line="249" w:lineRule="auto" w:before="145"/>
              <w:ind w:left="856" w:right="136" w:hanging="707"/>
              <w:jc w:val="left"/>
              <w:rPr>
                <w:b/>
                <w:sz w:val="24"/>
              </w:rPr>
            </w:pPr>
            <w:r>
              <w:rPr>
                <w:b/>
                <w:sz w:val="24"/>
              </w:rPr>
              <w:t>Household</w:t>
            </w:r>
            <w:r>
              <w:rPr>
                <w:b/>
                <w:spacing w:val="-17"/>
                <w:sz w:val="24"/>
              </w:rPr>
              <w:t> </w:t>
            </w:r>
            <w:r>
              <w:rPr>
                <w:b/>
                <w:sz w:val="24"/>
              </w:rPr>
              <w:t>size </w:t>
            </w:r>
            <w:r>
              <w:rPr>
                <w:b/>
                <w:spacing w:val="-4"/>
                <w:sz w:val="24"/>
              </w:rPr>
              <w:t>1-3</w:t>
            </w:r>
          </w:p>
        </w:tc>
        <w:tc>
          <w:tcPr>
            <w:tcW w:w="2059" w:type="dxa"/>
          </w:tcPr>
          <w:p>
            <w:pPr>
              <w:pStyle w:val="TableParagraph"/>
              <w:spacing w:line="249" w:lineRule="auto" w:before="145"/>
              <w:ind w:left="856" w:right="136" w:hanging="707"/>
              <w:jc w:val="left"/>
              <w:rPr>
                <w:b/>
                <w:sz w:val="24"/>
              </w:rPr>
            </w:pPr>
            <w:r>
              <w:rPr>
                <w:b/>
                <w:sz w:val="24"/>
              </w:rPr>
              <w:t>Household</w:t>
            </w:r>
            <w:r>
              <w:rPr>
                <w:b/>
                <w:spacing w:val="-17"/>
                <w:sz w:val="24"/>
              </w:rPr>
              <w:t> </w:t>
            </w:r>
            <w:r>
              <w:rPr>
                <w:b/>
                <w:sz w:val="24"/>
              </w:rPr>
              <w:t>size </w:t>
            </w:r>
            <w:r>
              <w:rPr>
                <w:b/>
                <w:spacing w:val="-4"/>
                <w:sz w:val="24"/>
              </w:rPr>
              <w:t>4-6</w:t>
            </w:r>
          </w:p>
        </w:tc>
        <w:tc>
          <w:tcPr>
            <w:tcW w:w="2059" w:type="dxa"/>
          </w:tcPr>
          <w:p>
            <w:pPr>
              <w:pStyle w:val="TableParagraph"/>
              <w:spacing w:line="249" w:lineRule="auto" w:before="145"/>
              <w:ind w:left="926" w:right="136" w:hanging="777"/>
              <w:jc w:val="left"/>
              <w:rPr>
                <w:b/>
                <w:sz w:val="24"/>
              </w:rPr>
            </w:pPr>
            <w:r>
              <w:rPr>
                <w:b/>
                <w:sz w:val="24"/>
              </w:rPr>
              <w:t>Household</w:t>
            </w:r>
            <w:r>
              <w:rPr>
                <w:b/>
                <w:spacing w:val="-17"/>
                <w:sz w:val="24"/>
              </w:rPr>
              <w:t> </w:t>
            </w:r>
            <w:r>
              <w:rPr>
                <w:b/>
                <w:sz w:val="24"/>
              </w:rPr>
              <w:t>size </w:t>
            </w:r>
            <w:r>
              <w:rPr>
                <w:b/>
                <w:spacing w:val="-6"/>
                <w:sz w:val="24"/>
              </w:rPr>
              <w:t>7+</w:t>
            </w:r>
          </w:p>
        </w:tc>
      </w:tr>
      <w:tr>
        <w:trPr>
          <w:trHeight w:val="295" w:hRule="atLeast"/>
        </w:trPr>
        <w:tc>
          <w:tcPr>
            <w:tcW w:w="2594" w:type="dxa"/>
            <w:vMerge w:val="restart"/>
            <w:tcBorders>
              <w:right w:val="single" w:sz="6" w:space="0" w:color="000000"/>
            </w:tcBorders>
          </w:tcPr>
          <w:p>
            <w:pPr>
              <w:pStyle w:val="TableParagraph"/>
              <w:spacing w:line="249" w:lineRule="auto" w:before="145"/>
              <w:ind w:left="722" w:hanging="641"/>
              <w:jc w:val="left"/>
              <w:rPr>
                <w:sz w:val="24"/>
              </w:rPr>
            </w:pPr>
            <w:r>
              <w:rPr>
                <w:sz w:val="24"/>
              </w:rPr>
              <w:t>Natural</w:t>
            </w:r>
            <w:r>
              <w:rPr>
                <w:spacing w:val="-17"/>
                <w:sz w:val="24"/>
              </w:rPr>
              <w:t> </w:t>
            </w:r>
            <w:r>
              <w:rPr>
                <w:sz w:val="24"/>
              </w:rPr>
              <w:t>gas,</w:t>
            </w:r>
            <w:r>
              <w:rPr>
                <w:spacing w:val="-17"/>
                <w:sz w:val="24"/>
              </w:rPr>
              <w:t> </w:t>
            </w:r>
            <w:r>
              <w:rPr>
                <w:sz w:val="24"/>
              </w:rPr>
              <w:t>electricity, wood, coal</w:t>
            </w:r>
          </w:p>
        </w:tc>
        <w:tc>
          <w:tcPr>
            <w:tcW w:w="2028" w:type="dxa"/>
            <w:tcBorders>
              <w:left w:val="single" w:sz="6" w:space="0" w:color="000000"/>
            </w:tcBorders>
            <w:shd w:val="clear" w:color="auto" w:fill="EFEFEF"/>
          </w:tcPr>
          <w:p>
            <w:pPr>
              <w:pStyle w:val="TableParagraph"/>
              <w:spacing w:line="270" w:lineRule="exact"/>
              <w:ind w:left="9"/>
              <w:rPr>
                <w:sz w:val="24"/>
              </w:rPr>
            </w:pPr>
            <w:r>
              <w:rPr>
                <w:sz w:val="24"/>
              </w:rPr>
              <w:t>$0</w:t>
            </w:r>
            <w:r>
              <w:rPr>
                <w:spacing w:val="-2"/>
                <w:sz w:val="24"/>
              </w:rPr>
              <w:t> </w:t>
            </w:r>
            <w:r>
              <w:rPr>
                <w:sz w:val="24"/>
              </w:rPr>
              <w:t>-</w:t>
            </w:r>
            <w:r>
              <w:rPr>
                <w:spacing w:val="-1"/>
                <w:sz w:val="24"/>
              </w:rPr>
              <w:t> </w:t>
            </w:r>
            <w:r>
              <w:rPr>
                <w:spacing w:val="-4"/>
                <w:sz w:val="24"/>
              </w:rPr>
              <w:t>$400</w:t>
            </w:r>
          </w:p>
        </w:tc>
        <w:tc>
          <w:tcPr>
            <w:tcW w:w="2059" w:type="dxa"/>
            <w:shd w:val="clear" w:color="auto" w:fill="EFEFEF"/>
          </w:tcPr>
          <w:p>
            <w:pPr>
              <w:pStyle w:val="TableParagraph"/>
              <w:spacing w:line="270" w:lineRule="exact"/>
              <w:ind w:right="1"/>
              <w:rPr>
                <w:sz w:val="24"/>
              </w:rPr>
            </w:pPr>
            <w:r>
              <w:rPr>
                <w:spacing w:val="-4"/>
                <w:sz w:val="24"/>
              </w:rPr>
              <w:t>$365</w:t>
            </w:r>
          </w:p>
        </w:tc>
        <w:tc>
          <w:tcPr>
            <w:tcW w:w="2059" w:type="dxa"/>
            <w:shd w:val="clear" w:color="auto" w:fill="EFEFEF"/>
          </w:tcPr>
          <w:p>
            <w:pPr>
              <w:pStyle w:val="TableParagraph"/>
              <w:spacing w:line="270" w:lineRule="exact"/>
              <w:ind w:right="1"/>
              <w:rPr>
                <w:sz w:val="24"/>
              </w:rPr>
            </w:pPr>
            <w:r>
              <w:rPr>
                <w:spacing w:val="-4"/>
                <w:sz w:val="24"/>
              </w:rPr>
              <w:t>$402</w:t>
            </w:r>
          </w:p>
        </w:tc>
        <w:tc>
          <w:tcPr>
            <w:tcW w:w="2059" w:type="dxa"/>
            <w:shd w:val="clear" w:color="auto" w:fill="EFEFEF"/>
          </w:tcPr>
          <w:p>
            <w:pPr>
              <w:pStyle w:val="TableParagraph"/>
              <w:spacing w:line="270" w:lineRule="exact"/>
              <w:rPr>
                <w:sz w:val="24"/>
              </w:rPr>
            </w:pPr>
            <w:r>
              <w:rPr>
                <w:spacing w:val="-4"/>
                <w:sz w:val="24"/>
              </w:rPr>
              <w:t>$430</w:t>
            </w:r>
          </w:p>
        </w:tc>
      </w:tr>
      <w:tr>
        <w:trPr>
          <w:trHeight w:val="292" w:hRule="atLeast"/>
        </w:trPr>
        <w:tc>
          <w:tcPr>
            <w:tcW w:w="2594" w:type="dxa"/>
            <w:vMerge/>
            <w:tcBorders>
              <w:top w:val="nil"/>
              <w:right w:val="single" w:sz="6" w:space="0" w:color="000000"/>
            </w:tcBorders>
          </w:tcPr>
          <w:p>
            <w:pPr>
              <w:rPr>
                <w:sz w:val="2"/>
                <w:szCs w:val="2"/>
              </w:rPr>
            </w:pPr>
          </w:p>
        </w:tc>
        <w:tc>
          <w:tcPr>
            <w:tcW w:w="2028" w:type="dxa"/>
            <w:tcBorders>
              <w:left w:val="single" w:sz="6" w:space="0" w:color="000000"/>
            </w:tcBorders>
          </w:tcPr>
          <w:p>
            <w:pPr>
              <w:pStyle w:val="TableParagraph"/>
              <w:ind w:left="9"/>
              <w:rPr>
                <w:sz w:val="24"/>
              </w:rPr>
            </w:pPr>
            <w:r>
              <w:rPr>
                <w:sz w:val="24"/>
              </w:rPr>
              <w:t>$401</w:t>
            </w:r>
            <w:r>
              <w:rPr>
                <w:spacing w:val="-3"/>
                <w:sz w:val="24"/>
              </w:rPr>
              <w:t> </w:t>
            </w:r>
            <w:r>
              <w:rPr>
                <w:sz w:val="24"/>
              </w:rPr>
              <w:t>-</w:t>
            </w:r>
            <w:r>
              <w:rPr>
                <w:spacing w:val="-3"/>
                <w:sz w:val="24"/>
              </w:rPr>
              <w:t> </w:t>
            </w:r>
            <w:r>
              <w:rPr>
                <w:spacing w:val="-4"/>
                <w:sz w:val="24"/>
              </w:rPr>
              <w:t>$700</w:t>
            </w:r>
          </w:p>
        </w:tc>
        <w:tc>
          <w:tcPr>
            <w:tcW w:w="2059" w:type="dxa"/>
          </w:tcPr>
          <w:p>
            <w:pPr>
              <w:pStyle w:val="TableParagraph"/>
              <w:ind w:right="1"/>
              <w:rPr>
                <w:sz w:val="24"/>
              </w:rPr>
            </w:pPr>
            <w:r>
              <w:rPr>
                <w:spacing w:val="-4"/>
                <w:sz w:val="24"/>
              </w:rPr>
              <w:t>$265</w:t>
            </w:r>
          </w:p>
        </w:tc>
        <w:tc>
          <w:tcPr>
            <w:tcW w:w="2059" w:type="dxa"/>
          </w:tcPr>
          <w:p>
            <w:pPr>
              <w:pStyle w:val="TableParagraph"/>
              <w:ind w:right="1"/>
              <w:rPr>
                <w:sz w:val="24"/>
              </w:rPr>
            </w:pPr>
            <w:r>
              <w:rPr>
                <w:spacing w:val="-4"/>
                <w:sz w:val="24"/>
              </w:rPr>
              <w:t>$292</w:t>
            </w:r>
          </w:p>
        </w:tc>
        <w:tc>
          <w:tcPr>
            <w:tcW w:w="2059" w:type="dxa"/>
          </w:tcPr>
          <w:p>
            <w:pPr>
              <w:pStyle w:val="TableParagraph"/>
              <w:rPr>
                <w:sz w:val="24"/>
              </w:rPr>
            </w:pPr>
            <w:r>
              <w:rPr>
                <w:spacing w:val="-4"/>
                <w:sz w:val="24"/>
              </w:rPr>
              <w:t>$312</w:t>
            </w:r>
          </w:p>
        </w:tc>
      </w:tr>
      <w:tr>
        <w:trPr>
          <w:trHeight w:val="289" w:hRule="atLeast"/>
        </w:trPr>
        <w:tc>
          <w:tcPr>
            <w:tcW w:w="2594" w:type="dxa"/>
            <w:vMerge/>
            <w:tcBorders>
              <w:top w:val="nil"/>
              <w:right w:val="single" w:sz="6" w:space="0" w:color="000000"/>
            </w:tcBorders>
          </w:tcPr>
          <w:p>
            <w:pPr>
              <w:rPr>
                <w:sz w:val="2"/>
                <w:szCs w:val="2"/>
              </w:rPr>
            </w:pPr>
          </w:p>
        </w:tc>
        <w:tc>
          <w:tcPr>
            <w:tcW w:w="2028" w:type="dxa"/>
            <w:tcBorders>
              <w:left w:val="single" w:sz="6" w:space="0" w:color="000000"/>
            </w:tcBorders>
            <w:shd w:val="clear" w:color="auto" w:fill="EFEFEF"/>
          </w:tcPr>
          <w:p>
            <w:pPr>
              <w:pStyle w:val="TableParagraph"/>
              <w:ind w:left="9"/>
              <w:rPr>
                <w:sz w:val="24"/>
              </w:rPr>
            </w:pPr>
            <w:r>
              <w:rPr>
                <w:sz w:val="24"/>
              </w:rPr>
              <w:t>$701</w:t>
            </w:r>
            <w:r>
              <w:rPr>
                <w:spacing w:val="-3"/>
                <w:sz w:val="24"/>
              </w:rPr>
              <w:t> </w:t>
            </w:r>
            <w:r>
              <w:rPr>
                <w:sz w:val="24"/>
              </w:rPr>
              <w:t>-</w:t>
            </w:r>
            <w:r>
              <w:rPr>
                <w:spacing w:val="-3"/>
                <w:sz w:val="24"/>
              </w:rPr>
              <w:t> </w:t>
            </w:r>
            <w:r>
              <w:rPr>
                <w:spacing w:val="-2"/>
                <w:sz w:val="24"/>
              </w:rPr>
              <w:t>ineligible</w:t>
            </w:r>
          </w:p>
        </w:tc>
        <w:tc>
          <w:tcPr>
            <w:tcW w:w="2059" w:type="dxa"/>
            <w:shd w:val="clear" w:color="auto" w:fill="EFEFEF"/>
          </w:tcPr>
          <w:p>
            <w:pPr>
              <w:pStyle w:val="TableParagraph"/>
              <w:ind w:right="1"/>
              <w:rPr>
                <w:sz w:val="24"/>
              </w:rPr>
            </w:pPr>
            <w:r>
              <w:rPr>
                <w:spacing w:val="-4"/>
                <w:sz w:val="24"/>
              </w:rPr>
              <w:t>$235</w:t>
            </w:r>
          </w:p>
        </w:tc>
        <w:tc>
          <w:tcPr>
            <w:tcW w:w="2059" w:type="dxa"/>
            <w:shd w:val="clear" w:color="auto" w:fill="EFEFEF"/>
          </w:tcPr>
          <w:p>
            <w:pPr>
              <w:pStyle w:val="TableParagraph"/>
              <w:ind w:right="1"/>
              <w:rPr>
                <w:sz w:val="24"/>
              </w:rPr>
            </w:pPr>
            <w:r>
              <w:rPr>
                <w:spacing w:val="-4"/>
                <w:sz w:val="24"/>
              </w:rPr>
              <w:t>$259</w:t>
            </w:r>
          </w:p>
        </w:tc>
        <w:tc>
          <w:tcPr>
            <w:tcW w:w="2059" w:type="dxa"/>
            <w:shd w:val="clear" w:color="auto" w:fill="EFEFEF"/>
          </w:tcPr>
          <w:p>
            <w:pPr>
              <w:pStyle w:val="TableParagraph"/>
              <w:rPr>
                <w:sz w:val="24"/>
              </w:rPr>
            </w:pPr>
            <w:r>
              <w:rPr>
                <w:spacing w:val="-4"/>
                <w:sz w:val="24"/>
              </w:rPr>
              <w:t>$277</w:t>
            </w:r>
          </w:p>
        </w:tc>
      </w:tr>
      <w:tr>
        <w:trPr>
          <w:trHeight w:val="295" w:hRule="atLeast"/>
        </w:trPr>
        <w:tc>
          <w:tcPr>
            <w:tcW w:w="2594" w:type="dxa"/>
            <w:vMerge w:val="restart"/>
            <w:tcBorders>
              <w:right w:val="single" w:sz="6" w:space="0" w:color="000000"/>
            </w:tcBorders>
          </w:tcPr>
          <w:p>
            <w:pPr>
              <w:pStyle w:val="TableParagraph"/>
              <w:spacing w:line="249" w:lineRule="auto" w:before="145"/>
              <w:ind w:left="748" w:hanging="421"/>
              <w:jc w:val="left"/>
              <w:rPr>
                <w:sz w:val="24"/>
              </w:rPr>
            </w:pPr>
            <w:r>
              <w:rPr>
                <w:sz w:val="24"/>
              </w:rPr>
              <w:t>LP</w:t>
            </w:r>
            <w:r>
              <w:rPr>
                <w:spacing w:val="-17"/>
                <w:sz w:val="24"/>
              </w:rPr>
              <w:t> </w:t>
            </w:r>
            <w:r>
              <w:rPr>
                <w:sz w:val="24"/>
              </w:rPr>
              <w:t>gas,</w:t>
            </w:r>
            <w:r>
              <w:rPr>
                <w:spacing w:val="-17"/>
                <w:sz w:val="24"/>
              </w:rPr>
              <w:t> </w:t>
            </w:r>
            <w:r>
              <w:rPr>
                <w:sz w:val="24"/>
              </w:rPr>
              <w:t>kerosene, heating oil</w:t>
            </w:r>
          </w:p>
        </w:tc>
        <w:tc>
          <w:tcPr>
            <w:tcW w:w="2028" w:type="dxa"/>
            <w:tcBorders>
              <w:left w:val="single" w:sz="6" w:space="0" w:color="000000"/>
            </w:tcBorders>
          </w:tcPr>
          <w:p>
            <w:pPr>
              <w:pStyle w:val="TableParagraph"/>
              <w:spacing w:line="270" w:lineRule="exact"/>
              <w:ind w:left="9"/>
              <w:rPr>
                <w:sz w:val="24"/>
              </w:rPr>
            </w:pPr>
            <w:r>
              <w:rPr>
                <w:sz w:val="24"/>
              </w:rPr>
              <w:t>$0</w:t>
            </w:r>
            <w:r>
              <w:rPr>
                <w:spacing w:val="-2"/>
                <w:sz w:val="24"/>
              </w:rPr>
              <w:t> </w:t>
            </w:r>
            <w:r>
              <w:rPr>
                <w:sz w:val="24"/>
              </w:rPr>
              <w:t>-</w:t>
            </w:r>
            <w:r>
              <w:rPr>
                <w:spacing w:val="-1"/>
                <w:sz w:val="24"/>
              </w:rPr>
              <w:t> </w:t>
            </w:r>
            <w:r>
              <w:rPr>
                <w:spacing w:val="-4"/>
                <w:sz w:val="24"/>
              </w:rPr>
              <w:t>$400</w:t>
            </w:r>
          </w:p>
        </w:tc>
        <w:tc>
          <w:tcPr>
            <w:tcW w:w="2059" w:type="dxa"/>
          </w:tcPr>
          <w:p>
            <w:pPr>
              <w:pStyle w:val="TableParagraph"/>
              <w:spacing w:line="270" w:lineRule="exact"/>
              <w:ind w:right="1"/>
              <w:rPr>
                <w:sz w:val="24"/>
              </w:rPr>
            </w:pPr>
            <w:r>
              <w:rPr>
                <w:spacing w:val="-4"/>
                <w:sz w:val="24"/>
              </w:rPr>
              <w:t>$425</w:t>
            </w:r>
          </w:p>
        </w:tc>
        <w:tc>
          <w:tcPr>
            <w:tcW w:w="2059" w:type="dxa"/>
          </w:tcPr>
          <w:p>
            <w:pPr>
              <w:pStyle w:val="TableParagraph"/>
              <w:spacing w:line="270" w:lineRule="exact"/>
              <w:ind w:right="1"/>
              <w:rPr>
                <w:sz w:val="24"/>
              </w:rPr>
            </w:pPr>
            <w:r>
              <w:rPr>
                <w:spacing w:val="-4"/>
                <w:sz w:val="24"/>
              </w:rPr>
              <w:t>$468</w:t>
            </w:r>
          </w:p>
        </w:tc>
        <w:tc>
          <w:tcPr>
            <w:tcW w:w="2059" w:type="dxa"/>
          </w:tcPr>
          <w:p>
            <w:pPr>
              <w:pStyle w:val="TableParagraph"/>
              <w:spacing w:line="270" w:lineRule="exact"/>
              <w:rPr>
                <w:sz w:val="24"/>
              </w:rPr>
            </w:pPr>
            <w:r>
              <w:rPr>
                <w:spacing w:val="-4"/>
                <w:sz w:val="24"/>
              </w:rPr>
              <w:t>$500</w:t>
            </w:r>
          </w:p>
        </w:tc>
      </w:tr>
      <w:tr>
        <w:trPr>
          <w:trHeight w:val="292" w:hRule="atLeast"/>
        </w:trPr>
        <w:tc>
          <w:tcPr>
            <w:tcW w:w="2594" w:type="dxa"/>
            <w:vMerge/>
            <w:tcBorders>
              <w:top w:val="nil"/>
              <w:right w:val="single" w:sz="6" w:space="0" w:color="000000"/>
            </w:tcBorders>
          </w:tcPr>
          <w:p>
            <w:pPr>
              <w:rPr>
                <w:sz w:val="2"/>
                <w:szCs w:val="2"/>
              </w:rPr>
            </w:pPr>
          </w:p>
        </w:tc>
        <w:tc>
          <w:tcPr>
            <w:tcW w:w="2028" w:type="dxa"/>
            <w:tcBorders>
              <w:left w:val="single" w:sz="6" w:space="0" w:color="000000"/>
            </w:tcBorders>
            <w:shd w:val="clear" w:color="auto" w:fill="EFEFEF"/>
          </w:tcPr>
          <w:p>
            <w:pPr>
              <w:pStyle w:val="TableParagraph"/>
              <w:ind w:left="9"/>
              <w:rPr>
                <w:sz w:val="24"/>
              </w:rPr>
            </w:pPr>
            <w:r>
              <w:rPr>
                <w:sz w:val="24"/>
              </w:rPr>
              <w:t>$401</w:t>
            </w:r>
            <w:r>
              <w:rPr>
                <w:spacing w:val="-3"/>
                <w:sz w:val="24"/>
              </w:rPr>
              <w:t> </w:t>
            </w:r>
            <w:r>
              <w:rPr>
                <w:sz w:val="24"/>
              </w:rPr>
              <w:t>-</w:t>
            </w:r>
            <w:r>
              <w:rPr>
                <w:spacing w:val="-3"/>
                <w:sz w:val="24"/>
              </w:rPr>
              <w:t> </w:t>
            </w:r>
            <w:r>
              <w:rPr>
                <w:spacing w:val="-4"/>
                <w:sz w:val="24"/>
              </w:rPr>
              <w:t>$700</w:t>
            </w:r>
          </w:p>
        </w:tc>
        <w:tc>
          <w:tcPr>
            <w:tcW w:w="2059" w:type="dxa"/>
            <w:shd w:val="clear" w:color="auto" w:fill="EFEFEF"/>
          </w:tcPr>
          <w:p>
            <w:pPr>
              <w:pStyle w:val="TableParagraph"/>
              <w:ind w:right="1"/>
              <w:rPr>
                <w:sz w:val="24"/>
              </w:rPr>
            </w:pPr>
            <w:r>
              <w:rPr>
                <w:spacing w:val="-4"/>
                <w:sz w:val="24"/>
              </w:rPr>
              <w:t>$350</w:t>
            </w:r>
          </w:p>
        </w:tc>
        <w:tc>
          <w:tcPr>
            <w:tcW w:w="2059" w:type="dxa"/>
            <w:shd w:val="clear" w:color="auto" w:fill="EFEFEF"/>
          </w:tcPr>
          <w:p>
            <w:pPr>
              <w:pStyle w:val="TableParagraph"/>
              <w:ind w:right="1"/>
              <w:rPr>
                <w:sz w:val="24"/>
              </w:rPr>
            </w:pPr>
            <w:r>
              <w:rPr>
                <w:spacing w:val="-4"/>
                <w:sz w:val="24"/>
              </w:rPr>
              <w:t>$385</w:t>
            </w:r>
          </w:p>
        </w:tc>
        <w:tc>
          <w:tcPr>
            <w:tcW w:w="2059" w:type="dxa"/>
            <w:shd w:val="clear" w:color="auto" w:fill="EFEFEF"/>
          </w:tcPr>
          <w:p>
            <w:pPr>
              <w:pStyle w:val="TableParagraph"/>
              <w:rPr>
                <w:sz w:val="24"/>
              </w:rPr>
            </w:pPr>
            <w:r>
              <w:rPr>
                <w:spacing w:val="-4"/>
                <w:sz w:val="24"/>
              </w:rPr>
              <w:t>$412</w:t>
            </w:r>
          </w:p>
        </w:tc>
      </w:tr>
      <w:tr>
        <w:trPr>
          <w:trHeight w:val="292" w:hRule="atLeast"/>
        </w:trPr>
        <w:tc>
          <w:tcPr>
            <w:tcW w:w="2594" w:type="dxa"/>
            <w:vMerge/>
            <w:tcBorders>
              <w:top w:val="nil"/>
              <w:right w:val="single" w:sz="6" w:space="0" w:color="000000"/>
            </w:tcBorders>
          </w:tcPr>
          <w:p>
            <w:pPr>
              <w:rPr>
                <w:sz w:val="2"/>
                <w:szCs w:val="2"/>
              </w:rPr>
            </w:pPr>
          </w:p>
        </w:tc>
        <w:tc>
          <w:tcPr>
            <w:tcW w:w="2028" w:type="dxa"/>
            <w:tcBorders>
              <w:left w:val="single" w:sz="6" w:space="0" w:color="000000"/>
            </w:tcBorders>
          </w:tcPr>
          <w:p>
            <w:pPr>
              <w:pStyle w:val="TableParagraph"/>
              <w:ind w:left="9"/>
              <w:rPr>
                <w:sz w:val="24"/>
              </w:rPr>
            </w:pPr>
            <w:r>
              <w:rPr>
                <w:sz w:val="24"/>
              </w:rPr>
              <w:t>$701</w:t>
            </w:r>
            <w:r>
              <w:rPr>
                <w:spacing w:val="-3"/>
                <w:sz w:val="24"/>
              </w:rPr>
              <w:t> </w:t>
            </w:r>
            <w:r>
              <w:rPr>
                <w:sz w:val="24"/>
              </w:rPr>
              <w:t>-</w:t>
            </w:r>
            <w:r>
              <w:rPr>
                <w:spacing w:val="-3"/>
                <w:sz w:val="24"/>
              </w:rPr>
              <w:t> </w:t>
            </w:r>
            <w:r>
              <w:rPr>
                <w:spacing w:val="-2"/>
                <w:sz w:val="24"/>
              </w:rPr>
              <w:t>ineligible</w:t>
            </w:r>
          </w:p>
        </w:tc>
        <w:tc>
          <w:tcPr>
            <w:tcW w:w="2059" w:type="dxa"/>
          </w:tcPr>
          <w:p>
            <w:pPr>
              <w:pStyle w:val="TableParagraph"/>
              <w:ind w:right="1"/>
              <w:rPr>
                <w:sz w:val="24"/>
              </w:rPr>
            </w:pPr>
            <w:r>
              <w:rPr>
                <w:spacing w:val="-4"/>
                <w:sz w:val="24"/>
              </w:rPr>
              <w:t>$280</w:t>
            </w:r>
          </w:p>
        </w:tc>
        <w:tc>
          <w:tcPr>
            <w:tcW w:w="2059" w:type="dxa"/>
          </w:tcPr>
          <w:p>
            <w:pPr>
              <w:pStyle w:val="TableParagraph"/>
              <w:ind w:right="1"/>
              <w:rPr>
                <w:sz w:val="24"/>
              </w:rPr>
            </w:pPr>
            <w:r>
              <w:rPr>
                <w:spacing w:val="-4"/>
                <w:sz w:val="24"/>
              </w:rPr>
              <w:t>$308</w:t>
            </w:r>
          </w:p>
        </w:tc>
        <w:tc>
          <w:tcPr>
            <w:tcW w:w="2059" w:type="dxa"/>
          </w:tcPr>
          <w:p>
            <w:pPr>
              <w:pStyle w:val="TableParagraph"/>
              <w:rPr>
                <w:sz w:val="24"/>
              </w:rPr>
            </w:pPr>
            <w:r>
              <w:rPr>
                <w:spacing w:val="-4"/>
                <w:sz w:val="24"/>
              </w:rPr>
              <w:t>$330</w:t>
            </w:r>
          </w:p>
        </w:tc>
      </w:tr>
    </w:tbl>
    <w:p>
      <w:pPr>
        <w:pStyle w:val="BodyText"/>
        <w:spacing w:before="7" w:after="1"/>
        <w:rPr>
          <w:sz w:val="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94"/>
        <w:gridCol w:w="2028"/>
        <w:gridCol w:w="2059"/>
        <w:gridCol w:w="2059"/>
        <w:gridCol w:w="2059"/>
      </w:tblGrid>
      <w:tr>
        <w:trPr>
          <w:trHeight w:val="710" w:hRule="atLeast"/>
        </w:trPr>
        <w:tc>
          <w:tcPr>
            <w:tcW w:w="2594" w:type="dxa"/>
            <w:tcBorders>
              <w:right w:val="single" w:sz="6" w:space="0" w:color="000000"/>
            </w:tcBorders>
            <w:shd w:val="clear" w:color="auto" w:fill="0080AA"/>
          </w:tcPr>
          <w:p>
            <w:pPr>
              <w:pStyle w:val="TableParagraph"/>
              <w:spacing w:line="249" w:lineRule="auto" w:before="55"/>
              <w:ind w:left="402" w:hanging="307"/>
              <w:jc w:val="left"/>
              <w:rPr>
                <w:b/>
                <w:sz w:val="24"/>
              </w:rPr>
            </w:pPr>
            <w:r>
              <w:rPr>
                <w:b/>
                <w:color w:val="FFFFFF"/>
                <w:sz w:val="24"/>
              </w:rPr>
              <w:t>When</w:t>
            </w:r>
            <w:r>
              <w:rPr>
                <w:b/>
                <w:color w:val="FFFFFF"/>
                <w:spacing w:val="-12"/>
                <w:sz w:val="24"/>
              </w:rPr>
              <w:t> </w:t>
            </w:r>
            <w:r>
              <w:rPr>
                <w:b/>
                <w:color w:val="FFFFFF"/>
                <w:sz w:val="24"/>
              </w:rPr>
              <w:t>heating</w:t>
            </w:r>
            <w:r>
              <w:rPr>
                <w:b/>
                <w:color w:val="FFFFFF"/>
                <w:spacing w:val="-12"/>
                <w:sz w:val="24"/>
              </w:rPr>
              <w:t> </w:t>
            </w:r>
            <w:r>
              <w:rPr>
                <w:b/>
                <w:color w:val="FFFFFF"/>
                <w:sz w:val="24"/>
              </w:rPr>
              <w:t>cost</w:t>
            </w:r>
            <w:r>
              <w:rPr>
                <w:b/>
                <w:color w:val="FFFFFF"/>
                <w:spacing w:val="-12"/>
                <w:sz w:val="24"/>
              </w:rPr>
              <w:t> </w:t>
            </w:r>
            <w:r>
              <w:rPr>
                <w:b/>
                <w:color w:val="FFFFFF"/>
                <w:sz w:val="24"/>
              </w:rPr>
              <w:t>is included in rent</w:t>
            </w:r>
          </w:p>
        </w:tc>
        <w:tc>
          <w:tcPr>
            <w:tcW w:w="2028" w:type="dxa"/>
            <w:tcBorders>
              <w:left w:val="single" w:sz="6" w:space="0" w:color="000000"/>
            </w:tcBorders>
          </w:tcPr>
          <w:p>
            <w:pPr>
              <w:pStyle w:val="TableParagraph"/>
              <w:spacing w:line="240" w:lineRule="auto" w:before="199"/>
              <w:ind w:left="9"/>
              <w:rPr>
                <w:b/>
                <w:sz w:val="24"/>
              </w:rPr>
            </w:pPr>
            <w:r>
              <w:rPr>
                <w:b/>
                <w:sz w:val="24"/>
              </w:rPr>
              <w:t>Net</w:t>
            </w:r>
            <w:r>
              <w:rPr>
                <w:b/>
                <w:spacing w:val="-4"/>
                <w:sz w:val="24"/>
              </w:rPr>
              <w:t> </w:t>
            </w:r>
            <w:r>
              <w:rPr>
                <w:b/>
                <w:spacing w:val="-2"/>
                <w:sz w:val="24"/>
              </w:rPr>
              <w:t>Income</w:t>
            </w:r>
          </w:p>
        </w:tc>
        <w:tc>
          <w:tcPr>
            <w:tcW w:w="2059" w:type="dxa"/>
          </w:tcPr>
          <w:p>
            <w:pPr>
              <w:pStyle w:val="TableParagraph"/>
              <w:spacing w:line="249" w:lineRule="auto" w:before="55"/>
              <w:ind w:left="856" w:right="136" w:hanging="707"/>
              <w:jc w:val="left"/>
              <w:rPr>
                <w:b/>
                <w:sz w:val="24"/>
              </w:rPr>
            </w:pPr>
            <w:r>
              <w:rPr>
                <w:b/>
                <w:sz w:val="24"/>
              </w:rPr>
              <w:t>Household</w:t>
            </w:r>
            <w:r>
              <w:rPr>
                <w:b/>
                <w:spacing w:val="-17"/>
                <w:sz w:val="24"/>
              </w:rPr>
              <w:t> </w:t>
            </w:r>
            <w:r>
              <w:rPr>
                <w:b/>
                <w:sz w:val="24"/>
              </w:rPr>
              <w:t>size </w:t>
            </w:r>
            <w:r>
              <w:rPr>
                <w:b/>
                <w:spacing w:val="-4"/>
                <w:sz w:val="24"/>
              </w:rPr>
              <w:t>1-3</w:t>
            </w:r>
          </w:p>
        </w:tc>
        <w:tc>
          <w:tcPr>
            <w:tcW w:w="2059" w:type="dxa"/>
          </w:tcPr>
          <w:p>
            <w:pPr>
              <w:pStyle w:val="TableParagraph"/>
              <w:spacing w:line="249" w:lineRule="auto" w:before="55"/>
              <w:ind w:left="856" w:right="136" w:hanging="707"/>
              <w:jc w:val="left"/>
              <w:rPr>
                <w:b/>
                <w:sz w:val="24"/>
              </w:rPr>
            </w:pPr>
            <w:r>
              <w:rPr>
                <w:b/>
                <w:sz w:val="24"/>
              </w:rPr>
              <w:t>Household</w:t>
            </w:r>
            <w:r>
              <w:rPr>
                <w:b/>
                <w:spacing w:val="-17"/>
                <w:sz w:val="24"/>
              </w:rPr>
              <w:t> </w:t>
            </w:r>
            <w:r>
              <w:rPr>
                <w:b/>
                <w:sz w:val="24"/>
              </w:rPr>
              <w:t>size </w:t>
            </w:r>
            <w:r>
              <w:rPr>
                <w:b/>
                <w:spacing w:val="-4"/>
                <w:sz w:val="24"/>
              </w:rPr>
              <w:t>4-6</w:t>
            </w:r>
          </w:p>
        </w:tc>
        <w:tc>
          <w:tcPr>
            <w:tcW w:w="2059" w:type="dxa"/>
          </w:tcPr>
          <w:p>
            <w:pPr>
              <w:pStyle w:val="TableParagraph"/>
              <w:spacing w:line="249" w:lineRule="auto" w:before="55"/>
              <w:ind w:left="926" w:right="136" w:hanging="777"/>
              <w:jc w:val="left"/>
              <w:rPr>
                <w:b/>
                <w:sz w:val="24"/>
              </w:rPr>
            </w:pPr>
            <w:r>
              <w:rPr>
                <w:b/>
                <w:sz w:val="24"/>
              </w:rPr>
              <w:t>Household</w:t>
            </w:r>
            <w:r>
              <w:rPr>
                <w:b/>
                <w:spacing w:val="-17"/>
                <w:sz w:val="24"/>
              </w:rPr>
              <w:t> </w:t>
            </w:r>
            <w:r>
              <w:rPr>
                <w:b/>
                <w:sz w:val="24"/>
              </w:rPr>
              <w:t>size </w:t>
            </w:r>
            <w:r>
              <w:rPr>
                <w:b/>
                <w:spacing w:val="-6"/>
                <w:sz w:val="24"/>
              </w:rPr>
              <w:t>7+</w:t>
            </w:r>
          </w:p>
        </w:tc>
      </w:tr>
      <w:tr>
        <w:trPr>
          <w:trHeight w:val="292" w:hRule="atLeast"/>
        </w:trPr>
        <w:tc>
          <w:tcPr>
            <w:tcW w:w="2594" w:type="dxa"/>
            <w:vMerge w:val="restart"/>
            <w:tcBorders>
              <w:right w:val="single" w:sz="6" w:space="0" w:color="000000"/>
            </w:tcBorders>
          </w:tcPr>
          <w:p>
            <w:pPr>
              <w:pStyle w:val="TableParagraph"/>
              <w:spacing w:line="249" w:lineRule="auto" w:before="149"/>
              <w:ind w:left="875" w:right="296" w:hanging="567"/>
              <w:jc w:val="left"/>
              <w:rPr>
                <w:sz w:val="24"/>
              </w:rPr>
            </w:pPr>
            <w:r>
              <w:rPr>
                <w:sz w:val="24"/>
              </w:rPr>
              <w:t>Renter</w:t>
            </w:r>
            <w:r>
              <w:rPr>
                <w:spacing w:val="-13"/>
                <w:sz w:val="24"/>
              </w:rPr>
              <w:t> </w:t>
            </w:r>
            <w:r>
              <w:rPr>
                <w:sz w:val="24"/>
              </w:rPr>
              <w:t>-</w:t>
            </w:r>
            <w:r>
              <w:rPr>
                <w:spacing w:val="-13"/>
                <w:sz w:val="24"/>
              </w:rPr>
              <w:t> </w:t>
            </w:r>
            <w:r>
              <w:rPr>
                <w:sz w:val="24"/>
              </w:rPr>
              <w:t>all</w:t>
            </w:r>
            <w:r>
              <w:rPr>
                <w:spacing w:val="-13"/>
                <w:sz w:val="24"/>
              </w:rPr>
              <w:t> </w:t>
            </w:r>
            <w:r>
              <w:rPr>
                <w:sz w:val="24"/>
              </w:rPr>
              <w:t>energy </w:t>
            </w:r>
            <w:r>
              <w:rPr>
                <w:spacing w:val="-2"/>
                <w:sz w:val="24"/>
              </w:rPr>
              <w:t>sources</w:t>
            </w:r>
          </w:p>
        </w:tc>
        <w:tc>
          <w:tcPr>
            <w:tcW w:w="2028" w:type="dxa"/>
            <w:tcBorders>
              <w:left w:val="single" w:sz="6" w:space="0" w:color="000000"/>
            </w:tcBorders>
            <w:shd w:val="clear" w:color="auto" w:fill="EFEFEF"/>
          </w:tcPr>
          <w:p>
            <w:pPr>
              <w:pStyle w:val="TableParagraph"/>
              <w:ind w:left="9"/>
              <w:rPr>
                <w:sz w:val="24"/>
              </w:rPr>
            </w:pPr>
            <w:r>
              <w:rPr>
                <w:sz w:val="24"/>
              </w:rPr>
              <w:t>$0</w:t>
            </w:r>
            <w:r>
              <w:rPr>
                <w:spacing w:val="-2"/>
                <w:sz w:val="24"/>
              </w:rPr>
              <w:t> </w:t>
            </w:r>
            <w:r>
              <w:rPr>
                <w:sz w:val="24"/>
              </w:rPr>
              <w:t>-</w:t>
            </w:r>
            <w:r>
              <w:rPr>
                <w:spacing w:val="-1"/>
                <w:sz w:val="24"/>
              </w:rPr>
              <w:t> </w:t>
            </w:r>
            <w:r>
              <w:rPr>
                <w:spacing w:val="-4"/>
                <w:sz w:val="24"/>
              </w:rPr>
              <w:t>$400</w:t>
            </w:r>
          </w:p>
        </w:tc>
        <w:tc>
          <w:tcPr>
            <w:tcW w:w="2059" w:type="dxa"/>
            <w:shd w:val="clear" w:color="auto" w:fill="EFEFEF"/>
          </w:tcPr>
          <w:p>
            <w:pPr>
              <w:pStyle w:val="TableParagraph"/>
              <w:ind w:left="0" w:right="750"/>
              <w:jc w:val="right"/>
              <w:rPr>
                <w:sz w:val="24"/>
              </w:rPr>
            </w:pPr>
            <w:r>
              <w:rPr>
                <w:spacing w:val="-4"/>
                <w:sz w:val="24"/>
              </w:rPr>
              <w:t>$150</w:t>
            </w:r>
          </w:p>
        </w:tc>
        <w:tc>
          <w:tcPr>
            <w:tcW w:w="2059" w:type="dxa"/>
            <w:shd w:val="clear" w:color="auto" w:fill="EFEFEF"/>
          </w:tcPr>
          <w:p>
            <w:pPr>
              <w:pStyle w:val="TableParagraph"/>
              <w:rPr>
                <w:sz w:val="24"/>
              </w:rPr>
            </w:pPr>
            <w:r>
              <w:rPr>
                <w:spacing w:val="-4"/>
                <w:sz w:val="24"/>
              </w:rPr>
              <w:t>$165</w:t>
            </w:r>
          </w:p>
        </w:tc>
        <w:tc>
          <w:tcPr>
            <w:tcW w:w="2059" w:type="dxa"/>
            <w:shd w:val="clear" w:color="auto" w:fill="EFEFEF"/>
          </w:tcPr>
          <w:p>
            <w:pPr>
              <w:pStyle w:val="TableParagraph"/>
              <w:rPr>
                <w:sz w:val="24"/>
              </w:rPr>
            </w:pPr>
            <w:r>
              <w:rPr>
                <w:spacing w:val="-4"/>
                <w:sz w:val="24"/>
              </w:rPr>
              <w:t>$180</w:t>
            </w:r>
          </w:p>
        </w:tc>
      </w:tr>
      <w:tr>
        <w:trPr>
          <w:trHeight w:val="292" w:hRule="atLeast"/>
        </w:trPr>
        <w:tc>
          <w:tcPr>
            <w:tcW w:w="2594" w:type="dxa"/>
            <w:vMerge/>
            <w:tcBorders>
              <w:top w:val="nil"/>
              <w:right w:val="single" w:sz="6" w:space="0" w:color="000000"/>
            </w:tcBorders>
          </w:tcPr>
          <w:p>
            <w:pPr>
              <w:rPr>
                <w:sz w:val="2"/>
                <w:szCs w:val="2"/>
              </w:rPr>
            </w:pPr>
          </w:p>
        </w:tc>
        <w:tc>
          <w:tcPr>
            <w:tcW w:w="2028" w:type="dxa"/>
            <w:tcBorders>
              <w:left w:val="single" w:sz="6" w:space="0" w:color="000000"/>
            </w:tcBorders>
          </w:tcPr>
          <w:p>
            <w:pPr>
              <w:pStyle w:val="TableParagraph"/>
              <w:ind w:left="9"/>
              <w:rPr>
                <w:sz w:val="24"/>
              </w:rPr>
            </w:pPr>
            <w:r>
              <w:rPr>
                <w:sz w:val="24"/>
              </w:rPr>
              <w:t>$401</w:t>
            </w:r>
            <w:r>
              <w:rPr>
                <w:spacing w:val="-3"/>
                <w:sz w:val="24"/>
              </w:rPr>
              <w:t> </w:t>
            </w:r>
            <w:r>
              <w:rPr>
                <w:sz w:val="24"/>
              </w:rPr>
              <w:t>-</w:t>
            </w:r>
            <w:r>
              <w:rPr>
                <w:spacing w:val="-3"/>
                <w:sz w:val="24"/>
              </w:rPr>
              <w:t> </w:t>
            </w:r>
            <w:r>
              <w:rPr>
                <w:spacing w:val="-4"/>
                <w:sz w:val="24"/>
              </w:rPr>
              <w:t>$700</w:t>
            </w:r>
          </w:p>
        </w:tc>
        <w:tc>
          <w:tcPr>
            <w:tcW w:w="2059" w:type="dxa"/>
          </w:tcPr>
          <w:p>
            <w:pPr>
              <w:pStyle w:val="TableParagraph"/>
              <w:ind w:left="0" w:right="750"/>
              <w:jc w:val="right"/>
              <w:rPr>
                <w:sz w:val="24"/>
              </w:rPr>
            </w:pPr>
            <w:r>
              <w:rPr>
                <w:spacing w:val="-4"/>
                <w:sz w:val="24"/>
              </w:rPr>
              <w:t>$110</w:t>
            </w:r>
          </w:p>
        </w:tc>
        <w:tc>
          <w:tcPr>
            <w:tcW w:w="2059" w:type="dxa"/>
          </w:tcPr>
          <w:p>
            <w:pPr>
              <w:pStyle w:val="TableParagraph"/>
              <w:rPr>
                <w:sz w:val="24"/>
              </w:rPr>
            </w:pPr>
            <w:r>
              <w:rPr>
                <w:spacing w:val="-4"/>
                <w:sz w:val="24"/>
              </w:rPr>
              <w:t>$120</w:t>
            </w:r>
          </w:p>
        </w:tc>
        <w:tc>
          <w:tcPr>
            <w:tcW w:w="2059" w:type="dxa"/>
          </w:tcPr>
          <w:p>
            <w:pPr>
              <w:pStyle w:val="TableParagraph"/>
              <w:rPr>
                <w:sz w:val="24"/>
              </w:rPr>
            </w:pPr>
            <w:r>
              <w:rPr>
                <w:spacing w:val="-4"/>
                <w:sz w:val="24"/>
              </w:rPr>
              <w:t>$135</w:t>
            </w:r>
          </w:p>
        </w:tc>
      </w:tr>
      <w:tr>
        <w:trPr>
          <w:trHeight w:val="292" w:hRule="atLeast"/>
        </w:trPr>
        <w:tc>
          <w:tcPr>
            <w:tcW w:w="2594" w:type="dxa"/>
            <w:vMerge/>
            <w:tcBorders>
              <w:top w:val="nil"/>
              <w:right w:val="single" w:sz="6" w:space="0" w:color="000000"/>
            </w:tcBorders>
          </w:tcPr>
          <w:p>
            <w:pPr>
              <w:rPr>
                <w:sz w:val="2"/>
                <w:szCs w:val="2"/>
              </w:rPr>
            </w:pPr>
          </w:p>
        </w:tc>
        <w:tc>
          <w:tcPr>
            <w:tcW w:w="2028" w:type="dxa"/>
            <w:tcBorders>
              <w:left w:val="single" w:sz="6" w:space="0" w:color="000000"/>
            </w:tcBorders>
            <w:shd w:val="clear" w:color="auto" w:fill="EFEFEF"/>
          </w:tcPr>
          <w:p>
            <w:pPr>
              <w:pStyle w:val="TableParagraph"/>
              <w:ind w:left="9"/>
              <w:rPr>
                <w:sz w:val="24"/>
              </w:rPr>
            </w:pPr>
            <w:r>
              <w:rPr>
                <w:sz w:val="24"/>
              </w:rPr>
              <w:t>$701</w:t>
            </w:r>
            <w:r>
              <w:rPr>
                <w:spacing w:val="-3"/>
                <w:sz w:val="24"/>
              </w:rPr>
              <w:t> </w:t>
            </w:r>
            <w:r>
              <w:rPr>
                <w:sz w:val="24"/>
              </w:rPr>
              <w:t>-</w:t>
            </w:r>
            <w:r>
              <w:rPr>
                <w:spacing w:val="-3"/>
                <w:sz w:val="24"/>
              </w:rPr>
              <w:t> </w:t>
            </w:r>
            <w:r>
              <w:rPr>
                <w:spacing w:val="-2"/>
                <w:sz w:val="24"/>
              </w:rPr>
              <w:t>ineligible</w:t>
            </w:r>
          </w:p>
        </w:tc>
        <w:tc>
          <w:tcPr>
            <w:tcW w:w="2059" w:type="dxa"/>
            <w:shd w:val="clear" w:color="auto" w:fill="EFEFEF"/>
          </w:tcPr>
          <w:p>
            <w:pPr>
              <w:pStyle w:val="TableParagraph"/>
              <w:ind w:left="0" w:right="750"/>
              <w:jc w:val="right"/>
              <w:rPr>
                <w:sz w:val="24"/>
              </w:rPr>
            </w:pPr>
            <w:r>
              <w:rPr>
                <w:spacing w:val="-4"/>
                <w:sz w:val="24"/>
              </w:rPr>
              <w:t>$100</w:t>
            </w:r>
          </w:p>
        </w:tc>
        <w:tc>
          <w:tcPr>
            <w:tcW w:w="2059" w:type="dxa"/>
            <w:shd w:val="clear" w:color="auto" w:fill="EFEFEF"/>
          </w:tcPr>
          <w:p>
            <w:pPr>
              <w:pStyle w:val="TableParagraph"/>
              <w:rPr>
                <w:sz w:val="24"/>
              </w:rPr>
            </w:pPr>
            <w:r>
              <w:rPr>
                <w:spacing w:val="-4"/>
                <w:sz w:val="24"/>
              </w:rPr>
              <w:t>$110</w:t>
            </w:r>
          </w:p>
        </w:tc>
        <w:tc>
          <w:tcPr>
            <w:tcW w:w="2059" w:type="dxa"/>
            <w:shd w:val="clear" w:color="auto" w:fill="EFEFEF"/>
          </w:tcPr>
          <w:p>
            <w:pPr>
              <w:pStyle w:val="TableParagraph"/>
              <w:rPr>
                <w:sz w:val="24"/>
              </w:rPr>
            </w:pPr>
            <w:r>
              <w:rPr>
                <w:spacing w:val="-4"/>
                <w:sz w:val="24"/>
              </w:rPr>
              <w:t>$125</w:t>
            </w:r>
          </w:p>
        </w:tc>
      </w:tr>
      <w:tr>
        <w:trPr>
          <w:trHeight w:val="292" w:hRule="atLeast"/>
        </w:trPr>
        <w:tc>
          <w:tcPr>
            <w:tcW w:w="2594" w:type="dxa"/>
            <w:vMerge w:val="restart"/>
            <w:tcBorders>
              <w:right w:val="single" w:sz="6" w:space="0" w:color="000000"/>
            </w:tcBorders>
          </w:tcPr>
          <w:p>
            <w:pPr>
              <w:pStyle w:val="TableParagraph"/>
              <w:spacing w:line="249" w:lineRule="auto" w:before="149"/>
              <w:ind w:left="875" w:hanging="634"/>
              <w:jc w:val="left"/>
              <w:rPr>
                <w:sz w:val="24"/>
              </w:rPr>
            </w:pPr>
            <w:r>
              <w:rPr>
                <w:sz w:val="24"/>
              </w:rPr>
              <w:t>Roomer</w:t>
            </w:r>
            <w:r>
              <w:rPr>
                <w:spacing w:val="-13"/>
                <w:sz w:val="24"/>
              </w:rPr>
              <w:t> </w:t>
            </w:r>
            <w:r>
              <w:rPr>
                <w:sz w:val="24"/>
              </w:rPr>
              <w:t>-</w:t>
            </w:r>
            <w:r>
              <w:rPr>
                <w:spacing w:val="-13"/>
                <w:sz w:val="24"/>
              </w:rPr>
              <w:t> </w:t>
            </w:r>
            <w:r>
              <w:rPr>
                <w:sz w:val="24"/>
              </w:rPr>
              <w:t>all</w:t>
            </w:r>
            <w:r>
              <w:rPr>
                <w:spacing w:val="-13"/>
                <w:sz w:val="24"/>
              </w:rPr>
              <w:t> </w:t>
            </w:r>
            <w:r>
              <w:rPr>
                <w:sz w:val="24"/>
              </w:rPr>
              <w:t>energy </w:t>
            </w:r>
            <w:r>
              <w:rPr>
                <w:spacing w:val="-2"/>
                <w:sz w:val="24"/>
              </w:rPr>
              <w:t>sources</w:t>
            </w:r>
          </w:p>
        </w:tc>
        <w:tc>
          <w:tcPr>
            <w:tcW w:w="2028" w:type="dxa"/>
            <w:tcBorders>
              <w:left w:val="single" w:sz="6" w:space="0" w:color="000000"/>
            </w:tcBorders>
          </w:tcPr>
          <w:p>
            <w:pPr>
              <w:pStyle w:val="TableParagraph"/>
              <w:ind w:left="9"/>
              <w:rPr>
                <w:sz w:val="24"/>
              </w:rPr>
            </w:pPr>
            <w:r>
              <w:rPr>
                <w:sz w:val="24"/>
              </w:rPr>
              <w:t>$0</w:t>
            </w:r>
            <w:r>
              <w:rPr>
                <w:spacing w:val="-2"/>
                <w:sz w:val="24"/>
              </w:rPr>
              <w:t> </w:t>
            </w:r>
            <w:r>
              <w:rPr>
                <w:sz w:val="24"/>
              </w:rPr>
              <w:t>-</w:t>
            </w:r>
            <w:r>
              <w:rPr>
                <w:spacing w:val="-1"/>
                <w:sz w:val="24"/>
              </w:rPr>
              <w:t> </w:t>
            </w:r>
            <w:r>
              <w:rPr>
                <w:spacing w:val="-4"/>
                <w:sz w:val="24"/>
              </w:rPr>
              <w:t>$400</w:t>
            </w:r>
          </w:p>
        </w:tc>
        <w:tc>
          <w:tcPr>
            <w:tcW w:w="2059" w:type="dxa"/>
          </w:tcPr>
          <w:p>
            <w:pPr>
              <w:pStyle w:val="TableParagraph"/>
              <w:ind w:left="0" w:right="817"/>
              <w:jc w:val="right"/>
              <w:rPr>
                <w:sz w:val="24"/>
              </w:rPr>
            </w:pPr>
            <w:r>
              <w:rPr>
                <w:spacing w:val="-5"/>
                <w:sz w:val="24"/>
              </w:rPr>
              <w:t>$70</w:t>
            </w:r>
          </w:p>
        </w:tc>
        <w:tc>
          <w:tcPr>
            <w:tcW w:w="2059" w:type="dxa"/>
          </w:tcPr>
          <w:p>
            <w:pPr>
              <w:pStyle w:val="TableParagraph"/>
              <w:rPr>
                <w:sz w:val="24"/>
              </w:rPr>
            </w:pPr>
            <w:r>
              <w:rPr>
                <w:spacing w:val="-5"/>
                <w:sz w:val="24"/>
              </w:rPr>
              <w:t>$0</w:t>
            </w:r>
          </w:p>
        </w:tc>
        <w:tc>
          <w:tcPr>
            <w:tcW w:w="2059" w:type="dxa"/>
          </w:tcPr>
          <w:p>
            <w:pPr>
              <w:pStyle w:val="TableParagraph"/>
              <w:rPr>
                <w:sz w:val="24"/>
              </w:rPr>
            </w:pPr>
            <w:r>
              <w:rPr>
                <w:spacing w:val="-5"/>
                <w:sz w:val="24"/>
              </w:rPr>
              <w:t>$0</w:t>
            </w:r>
          </w:p>
        </w:tc>
      </w:tr>
      <w:tr>
        <w:trPr>
          <w:trHeight w:val="292" w:hRule="atLeast"/>
        </w:trPr>
        <w:tc>
          <w:tcPr>
            <w:tcW w:w="2594" w:type="dxa"/>
            <w:vMerge/>
            <w:tcBorders>
              <w:top w:val="nil"/>
              <w:right w:val="single" w:sz="6" w:space="0" w:color="000000"/>
            </w:tcBorders>
          </w:tcPr>
          <w:p>
            <w:pPr>
              <w:rPr>
                <w:sz w:val="2"/>
                <w:szCs w:val="2"/>
              </w:rPr>
            </w:pPr>
          </w:p>
        </w:tc>
        <w:tc>
          <w:tcPr>
            <w:tcW w:w="2028" w:type="dxa"/>
            <w:tcBorders>
              <w:left w:val="single" w:sz="6" w:space="0" w:color="000000"/>
            </w:tcBorders>
            <w:shd w:val="clear" w:color="auto" w:fill="EFEFEF"/>
          </w:tcPr>
          <w:p>
            <w:pPr>
              <w:pStyle w:val="TableParagraph"/>
              <w:ind w:left="9"/>
              <w:rPr>
                <w:sz w:val="24"/>
              </w:rPr>
            </w:pPr>
            <w:r>
              <w:rPr>
                <w:sz w:val="24"/>
              </w:rPr>
              <w:t>$401</w:t>
            </w:r>
            <w:r>
              <w:rPr>
                <w:spacing w:val="-3"/>
                <w:sz w:val="24"/>
              </w:rPr>
              <w:t> </w:t>
            </w:r>
            <w:r>
              <w:rPr>
                <w:sz w:val="24"/>
              </w:rPr>
              <w:t>-</w:t>
            </w:r>
            <w:r>
              <w:rPr>
                <w:spacing w:val="-3"/>
                <w:sz w:val="24"/>
              </w:rPr>
              <w:t> </w:t>
            </w:r>
            <w:r>
              <w:rPr>
                <w:spacing w:val="-4"/>
                <w:sz w:val="24"/>
              </w:rPr>
              <w:t>$700</w:t>
            </w:r>
          </w:p>
        </w:tc>
        <w:tc>
          <w:tcPr>
            <w:tcW w:w="2059" w:type="dxa"/>
            <w:shd w:val="clear" w:color="auto" w:fill="EFEFEF"/>
          </w:tcPr>
          <w:p>
            <w:pPr>
              <w:pStyle w:val="TableParagraph"/>
              <w:ind w:left="0" w:right="817"/>
              <w:jc w:val="right"/>
              <w:rPr>
                <w:sz w:val="24"/>
              </w:rPr>
            </w:pPr>
            <w:r>
              <w:rPr>
                <w:spacing w:val="-5"/>
                <w:sz w:val="24"/>
              </w:rPr>
              <w:t>$50</w:t>
            </w:r>
          </w:p>
        </w:tc>
        <w:tc>
          <w:tcPr>
            <w:tcW w:w="2059" w:type="dxa"/>
            <w:shd w:val="clear" w:color="auto" w:fill="EFEFEF"/>
          </w:tcPr>
          <w:p>
            <w:pPr>
              <w:pStyle w:val="TableParagraph"/>
              <w:rPr>
                <w:sz w:val="24"/>
              </w:rPr>
            </w:pPr>
            <w:r>
              <w:rPr>
                <w:spacing w:val="-5"/>
                <w:sz w:val="24"/>
              </w:rPr>
              <w:t>$0</w:t>
            </w:r>
          </w:p>
        </w:tc>
        <w:tc>
          <w:tcPr>
            <w:tcW w:w="2059" w:type="dxa"/>
            <w:shd w:val="clear" w:color="auto" w:fill="EFEFEF"/>
          </w:tcPr>
          <w:p>
            <w:pPr>
              <w:pStyle w:val="TableParagraph"/>
              <w:rPr>
                <w:sz w:val="24"/>
              </w:rPr>
            </w:pPr>
            <w:r>
              <w:rPr>
                <w:spacing w:val="-5"/>
                <w:sz w:val="24"/>
              </w:rPr>
              <w:t>$0</w:t>
            </w:r>
          </w:p>
        </w:tc>
      </w:tr>
      <w:tr>
        <w:trPr>
          <w:trHeight w:val="292" w:hRule="atLeast"/>
        </w:trPr>
        <w:tc>
          <w:tcPr>
            <w:tcW w:w="2594" w:type="dxa"/>
            <w:vMerge/>
            <w:tcBorders>
              <w:top w:val="nil"/>
              <w:right w:val="single" w:sz="6" w:space="0" w:color="000000"/>
            </w:tcBorders>
          </w:tcPr>
          <w:p>
            <w:pPr>
              <w:rPr>
                <w:sz w:val="2"/>
                <w:szCs w:val="2"/>
              </w:rPr>
            </w:pPr>
          </w:p>
        </w:tc>
        <w:tc>
          <w:tcPr>
            <w:tcW w:w="2028" w:type="dxa"/>
            <w:tcBorders>
              <w:left w:val="single" w:sz="6" w:space="0" w:color="000000"/>
            </w:tcBorders>
          </w:tcPr>
          <w:p>
            <w:pPr>
              <w:pStyle w:val="TableParagraph"/>
              <w:ind w:left="9"/>
              <w:rPr>
                <w:sz w:val="24"/>
              </w:rPr>
            </w:pPr>
            <w:r>
              <w:rPr>
                <w:sz w:val="24"/>
              </w:rPr>
              <w:t>$701</w:t>
            </w:r>
            <w:r>
              <w:rPr>
                <w:spacing w:val="-3"/>
                <w:sz w:val="24"/>
              </w:rPr>
              <w:t> </w:t>
            </w:r>
            <w:r>
              <w:rPr>
                <w:sz w:val="24"/>
              </w:rPr>
              <w:t>-</w:t>
            </w:r>
            <w:r>
              <w:rPr>
                <w:spacing w:val="-3"/>
                <w:sz w:val="24"/>
              </w:rPr>
              <w:t> </w:t>
            </w:r>
            <w:r>
              <w:rPr>
                <w:spacing w:val="-2"/>
                <w:sz w:val="24"/>
              </w:rPr>
              <w:t>ineligible</w:t>
            </w:r>
          </w:p>
        </w:tc>
        <w:tc>
          <w:tcPr>
            <w:tcW w:w="2059" w:type="dxa"/>
          </w:tcPr>
          <w:p>
            <w:pPr>
              <w:pStyle w:val="TableParagraph"/>
              <w:ind w:left="0" w:right="817"/>
              <w:jc w:val="right"/>
              <w:rPr>
                <w:sz w:val="24"/>
              </w:rPr>
            </w:pPr>
            <w:r>
              <w:rPr>
                <w:spacing w:val="-5"/>
                <w:sz w:val="24"/>
              </w:rPr>
              <w:t>$40</w:t>
            </w:r>
          </w:p>
        </w:tc>
        <w:tc>
          <w:tcPr>
            <w:tcW w:w="2059" w:type="dxa"/>
          </w:tcPr>
          <w:p>
            <w:pPr>
              <w:pStyle w:val="TableParagraph"/>
              <w:rPr>
                <w:sz w:val="24"/>
              </w:rPr>
            </w:pPr>
            <w:r>
              <w:rPr>
                <w:spacing w:val="-5"/>
                <w:sz w:val="24"/>
              </w:rPr>
              <w:t>$0</w:t>
            </w:r>
          </w:p>
        </w:tc>
        <w:tc>
          <w:tcPr>
            <w:tcW w:w="2059" w:type="dxa"/>
          </w:tcPr>
          <w:p>
            <w:pPr>
              <w:pStyle w:val="TableParagraph"/>
              <w:rPr>
                <w:sz w:val="24"/>
              </w:rPr>
            </w:pPr>
            <w:r>
              <w:rPr>
                <w:spacing w:val="-5"/>
                <w:sz w:val="24"/>
              </w:rPr>
              <w:t>$0</w:t>
            </w:r>
          </w:p>
        </w:tc>
      </w:tr>
    </w:tbl>
    <w:p>
      <w:pPr>
        <w:pStyle w:val="Heading1"/>
        <w:tabs>
          <w:tab w:pos="11159" w:val="left" w:leader="none"/>
        </w:tabs>
        <w:spacing w:before="116"/>
      </w:pPr>
      <w:r>
        <w:rPr>
          <w:color w:val="FFFFFF"/>
          <w:spacing w:val="29"/>
          <w:shd w:fill="0080AA" w:color="auto" w:val="clear"/>
        </w:rPr>
        <w:t> </w:t>
      </w:r>
      <w:r>
        <w:rPr>
          <w:color w:val="FFFFFF"/>
          <w:shd w:fill="0080AA" w:color="auto" w:val="clear"/>
        </w:rPr>
        <w:t>Summer</w:t>
      </w:r>
      <w:r>
        <w:rPr>
          <w:color w:val="FFFFFF"/>
          <w:spacing w:val="-1"/>
          <w:shd w:fill="0080AA" w:color="auto" w:val="clear"/>
        </w:rPr>
        <w:t> </w:t>
      </w:r>
      <w:r>
        <w:rPr>
          <w:color w:val="FFFFFF"/>
          <w:shd w:fill="0080AA" w:color="auto" w:val="clear"/>
        </w:rPr>
        <w:t>Cooling</w:t>
      </w:r>
      <w:r>
        <w:rPr>
          <w:color w:val="FFFFFF"/>
          <w:spacing w:val="-1"/>
          <w:shd w:fill="0080AA" w:color="auto" w:val="clear"/>
        </w:rPr>
        <w:t> </w:t>
      </w:r>
      <w:r>
        <w:rPr>
          <w:color w:val="FFFFFF"/>
          <w:spacing w:val="-2"/>
          <w:shd w:fill="0080AA" w:color="auto" w:val="clear"/>
        </w:rPr>
        <w:t>Program</w:t>
      </w:r>
      <w:r>
        <w:rPr>
          <w:color w:val="FFFFFF"/>
          <w:shd w:fill="0080AA" w:color="auto" w:val="clear"/>
        </w:rPr>
        <w:tab/>
      </w:r>
    </w:p>
    <w:p>
      <w:pPr>
        <w:pStyle w:val="BodyText"/>
        <w:spacing w:line="249" w:lineRule="auto" w:before="121"/>
        <w:ind w:left="460" w:right="419"/>
      </w:pPr>
      <w:r>
        <w:rPr/>
        <w:t>A</w:t>
      </w:r>
      <w:r>
        <w:rPr>
          <w:spacing w:val="-4"/>
        </w:rPr>
        <w:t> </w:t>
      </w:r>
      <w:r>
        <w:rPr/>
        <w:t>designated</w:t>
      </w:r>
      <w:r>
        <w:rPr>
          <w:spacing w:val="-4"/>
        </w:rPr>
        <w:t> </w:t>
      </w:r>
      <w:r>
        <w:rPr/>
        <w:t>LIHEAP</w:t>
      </w:r>
      <w:r>
        <w:rPr>
          <w:spacing w:val="-4"/>
        </w:rPr>
        <w:t> </w:t>
      </w:r>
      <w:r>
        <w:rPr/>
        <w:t>summer</w:t>
      </w:r>
      <w:r>
        <w:rPr>
          <w:spacing w:val="-4"/>
        </w:rPr>
        <w:t> </w:t>
      </w:r>
      <w:r>
        <w:rPr/>
        <w:t>cooling</w:t>
      </w:r>
      <w:r>
        <w:rPr>
          <w:spacing w:val="-4"/>
        </w:rPr>
        <w:t> </w:t>
      </w:r>
      <w:r>
        <w:rPr/>
        <w:t>application</w:t>
      </w:r>
      <w:r>
        <w:rPr>
          <w:spacing w:val="-4"/>
        </w:rPr>
        <w:t> </w:t>
      </w:r>
      <w:r>
        <w:rPr/>
        <w:t>period</w:t>
      </w:r>
      <w:r>
        <w:rPr>
          <w:spacing w:val="-4"/>
        </w:rPr>
        <w:t> </w:t>
      </w:r>
      <w:r>
        <w:rPr/>
        <w:t>is</w:t>
      </w:r>
      <w:r>
        <w:rPr>
          <w:spacing w:val="-4"/>
        </w:rPr>
        <w:t> </w:t>
      </w:r>
      <w:r>
        <w:rPr/>
        <w:t>opened</w:t>
      </w:r>
      <w:r>
        <w:rPr>
          <w:spacing w:val="-4"/>
        </w:rPr>
        <w:t> </w:t>
      </w:r>
      <w:r>
        <w:rPr/>
        <w:t>each</w:t>
      </w:r>
      <w:r>
        <w:rPr>
          <w:spacing w:val="-4"/>
        </w:rPr>
        <w:t> </w:t>
      </w:r>
      <w:r>
        <w:rPr/>
        <w:t>year</w:t>
      </w:r>
      <w:r>
        <w:rPr>
          <w:spacing w:val="-4"/>
        </w:rPr>
        <w:t> </w:t>
      </w:r>
      <w:r>
        <w:rPr/>
        <w:t>federal</w:t>
      </w:r>
      <w:r>
        <w:rPr>
          <w:spacing w:val="-4"/>
        </w:rPr>
        <w:t> </w:t>
      </w:r>
      <w:r>
        <w:rPr/>
        <w:t>funds</w:t>
      </w:r>
      <w:r>
        <w:rPr>
          <w:spacing w:val="-4"/>
        </w:rPr>
        <w:t> </w:t>
      </w:r>
      <w:r>
        <w:rPr/>
        <w:t>are issued and runs until reserved funding is spent. Refer to </w:t>
      </w:r>
      <w:r>
        <w:rPr>
          <w:color w:val="0000FF"/>
          <w:u w:val="single" w:color="0000FF"/>
        </w:rPr>
        <w:t>OAC 340:20-1-20</w:t>
      </w:r>
      <w:r>
        <w:rPr>
          <w:color w:val="0000FF"/>
          <w:u w:val="none"/>
        </w:rPr>
        <w:t> </w:t>
      </w:r>
      <w:r>
        <w:rPr>
          <w:u w:val="none"/>
        </w:rPr>
        <w:t>for program details.</w:t>
      </w:r>
    </w:p>
    <w:p>
      <w:pPr>
        <w:pStyle w:val="BodyText"/>
        <w:spacing w:before="10"/>
        <w:rPr>
          <w:sz w:val="11"/>
        </w:rPr>
      </w:pPr>
    </w:p>
    <w:tbl>
      <w:tblPr>
        <w:tblW w:w="0" w:type="auto"/>
        <w:jc w:val="left"/>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79"/>
        <w:gridCol w:w="3579"/>
        <w:gridCol w:w="3613"/>
      </w:tblGrid>
      <w:tr>
        <w:trPr>
          <w:trHeight w:val="321" w:hRule="atLeast"/>
        </w:trPr>
        <w:tc>
          <w:tcPr>
            <w:tcW w:w="3579" w:type="dxa"/>
          </w:tcPr>
          <w:p>
            <w:pPr>
              <w:pStyle w:val="TableParagraph"/>
              <w:spacing w:line="240" w:lineRule="auto" w:before="5"/>
              <w:ind w:left="10"/>
              <w:rPr>
                <w:b/>
                <w:sz w:val="24"/>
              </w:rPr>
            </w:pPr>
            <w:r>
              <w:rPr>
                <w:b/>
                <w:sz w:val="24"/>
              </w:rPr>
              <w:t>Household</w:t>
            </w:r>
            <w:r>
              <w:rPr>
                <w:b/>
                <w:spacing w:val="-14"/>
                <w:sz w:val="24"/>
              </w:rPr>
              <w:t> </w:t>
            </w:r>
            <w:r>
              <w:rPr>
                <w:b/>
                <w:spacing w:val="-4"/>
                <w:sz w:val="24"/>
              </w:rPr>
              <w:t>size</w:t>
            </w:r>
          </w:p>
        </w:tc>
        <w:tc>
          <w:tcPr>
            <w:tcW w:w="3579" w:type="dxa"/>
          </w:tcPr>
          <w:p>
            <w:pPr>
              <w:pStyle w:val="TableParagraph"/>
              <w:spacing w:line="240" w:lineRule="auto" w:before="5"/>
              <w:ind w:left="10" w:right="1"/>
              <w:rPr>
                <w:b/>
                <w:sz w:val="24"/>
              </w:rPr>
            </w:pPr>
            <w:r>
              <w:rPr>
                <w:b/>
                <w:sz w:val="24"/>
              </w:rPr>
              <w:t>Net</w:t>
            </w:r>
            <w:r>
              <w:rPr>
                <w:b/>
                <w:spacing w:val="-4"/>
                <w:sz w:val="24"/>
              </w:rPr>
              <w:t> </w:t>
            </w:r>
            <w:r>
              <w:rPr>
                <w:b/>
                <w:spacing w:val="-2"/>
                <w:sz w:val="24"/>
              </w:rPr>
              <w:t>Income</w:t>
            </w:r>
          </w:p>
        </w:tc>
        <w:tc>
          <w:tcPr>
            <w:tcW w:w="3613" w:type="dxa"/>
          </w:tcPr>
          <w:p>
            <w:pPr>
              <w:pStyle w:val="TableParagraph"/>
              <w:spacing w:line="240" w:lineRule="auto" w:before="5"/>
              <w:ind w:left="9"/>
              <w:rPr>
                <w:b/>
                <w:sz w:val="24"/>
              </w:rPr>
            </w:pPr>
            <w:r>
              <w:rPr>
                <w:b/>
                <w:sz w:val="24"/>
              </w:rPr>
              <w:t>Benefit</w:t>
            </w:r>
            <w:r>
              <w:rPr>
                <w:b/>
                <w:spacing w:val="-9"/>
                <w:sz w:val="24"/>
              </w:rPr>
              <w:t> </w:t>
            </w:r>
            <w:r>
              <w:rPr>
                <w:b/>
                <w:spacing w:val="-2"/>
                <w:sz w:val="24"/>
              </w:rPr>
              <w:t>amount</w:t>
            </w:r>
          </w:p>
        </w:tc>
      </w:tr>
      <w:tr>
        <w:trPr>
          <w:trHeight w:val="321" w:hRule="atLeast"/>
        </w:trPr>
        <w:tc>
          <w:tcPr>
            <w:tcW w:w="3579" w:type="dxa"/>
            <w:shd w:val="clear" w:color="auto" w:fill="EFEFEF"/>
          </w:tcPr>
          <w:p>
            <w:pPr>
              <w:pStyle w:val="TableParagraph"/>
              <w:spacing w:line="240" w:lineRule="auto" w:before="5"/>
              <w:ind w:left="10" w:right="1"/>
              <w:rPr>
                <w:sz w:val="24"/>
              </w:rPr>
            </w:pPr>
            <w:r>
              <w:rPr>
                <w:spacing w:val="-10"/>
                <w:sz w:val="24"/>
              </w:rPr>
              <w:t>1</w:t>
            </w:r>
          </w:p>
        </w:tc>
        <w:tc>
          <w:tcPr>
            <w:tcW w:w="3579" w:type="dxa"/>
            <w:shd w:val="clear" w:color="auto" w:fill="EFEFEF"/>
          </w:tcPr>
          <w:p>
            <w:pPr>
              <w:pStyle w:val="TableParagraph"/>
              <w:spacing w:line="240" w:lineRule="auto" w:before="5"/>
              <w:ind w:left="10" w:right="1"/>
              <w:rPr>
                <w:sz w:val="24"/>
              </w:rPr>
            </w:pPr>
            <w:r>
              <w:rPr>
                <w:sz w:val="24"/>
              </w:rPr>
              <w:t>$0</w:t>
            </w:r>
            <w:r>
              <w:rPr>
                <w:spacing w:val="-2"/>
                <w:sz w:val="24"/>
              </w:rPr>
              <w:t> </w:t>
            </w:r>
            <w:r>
              <w:rPr>
                <w:sz w:val="24"/>
              </w:rPr>
              <w:t>-</w:t>
            </w:r>
            <w:r>
              <w:rPr>
                <w:spacing w:val="-1"/>
                <w:sz w:val="24"/>
              </w:rPr>
              <w:t> </w:t>
            </w:r>
            <w:r>
              <w:rPr>
                <w:spacing w:val="-4"/>
                <w:sz w:val="24"/>
              </w:rPr>
              <w:t>$700</w:t>
            </w:r>
          </w:p>
        </w:tc>
        <w:tc>
          <w:tcPr>
            <w:tcW w:w="3613" w:type="dxa"/>
            <w:shd w:val="clear" w:color="auto" w:fill="EFEFEF"/>
          </w:tcPr>
          <w:p>
            <w:pPr>
              <w:pStyle w:val="TableParagraph"/>
              <w:spacing w:line="240" w:lineRule="auto" w:before="5"/>
              <w:ind w:left="9"/>
              <w:rPr>
                <w:sz w:val="24"/>
              </w:rPr>
            </w:pPr>
            <w:r>
              <w:rPr>
                <w:spacing w:val="-4"/>
                <w:sz w:val="24"/>
              </w:rPr>
              <w:t>$500</w:t>
            </w:r>
          </w:p>
        </w:tc>
      </w:tr>
      <w:tr>
        <w:trPr>
          <w:trHeight w:val="321" w:hRule="atLeast"/>
        </w:trPr>
        <w:tc>
          <w:tcPr>
            <w:tcW w:w="3579" w:type="dxa"/>
          </w:tcPr>
          <w:p>
            <w:pPr>
              <w:pStyle w:val="TableParagraph"/>
              <w:spacing w:line="240" w:lineRule="auto" w:before="5"/>
              <w:ind w:left="10" w:right="1"/>
              <w:rPr>
                <w:sz w:val="24"/>
              </w:rPr>
            </w:pPr>
            <w:r>
              <w:rPr>
                <w:spacing w:val="-10"/>
                <w:sz w:val="24"/>
              </w:rPr>
              <w:t>1</w:t>
            </w:r>
          </w:p>
        </w:tc>
        <w:tc>
          <w:tcPr>
            <w:tcW w:w="3579" w:type="dxa"/>
          </w:tcPr>
          <w:p>
            <w:pPr>
              <w:pStyle w:val="TableParagraph"/>
              <w:spacing w:line="240" w:lineRule="auto" w:before="5"/>
              <w:ind w:left="10" w:right="1"/>
              <w:rPr>
                <w:sz w:val="24"/>
              </w:rPr>
            </w:pPr>
            <w:r>
              <w:rPr>
                <w:sz w:val="24"/>
              </w:rPr>
              <w:t>$701</w:t>
            </w:r>
            <w:r>
              <w:rPr>
                <w:spacing w:val="-3"/>
                <w:sz w:val="24"/>
              </w:rPr>
              <w:t> </w:t>
            </w:r>
            <w:r>
              <w:rPr>
                <w:sz w:val="24"/>
              </w:rPr>
              <w:t>-</w:t>
            </w:r>
            <w:r>
              <w:rPr>
                <w:spacing w:val="-3"/>
                <w:sz w:val="24"/>
              </w:rPr>
              <w:t> </w:t>
            </w:r>
            <w:r>
              <w:rPr>
                <w:spacing w:val="-2"/>
                <w:sz w:val="24"/>
              </w:rPr>
              <w:t>ineligible</w:t>
            </w:r>
          </w:p>
        </w:tc>
        <w:tc>
          <w:tcPr>
            <w:tcW w:w="3613" w:type="dxa"/>
          </w:tcPr>
          <w:p>
            <w:pPr>
              <w:pStyle w:val="TableParagraph"/>
              <w:spacing w:line="240" w:lineRule="auto" w:before="5"/>
              <w:ind w:left="9"/>
              <w:rPr>
                <w:sz w:val="24"/>
              </w:rPr>
            </w:pPr>
            <w:r>
              <w:rPr>
                <w:spacing w:val="-4"/>
                <w:sz w:val="24"/>
              </w:rPr>
              <w:t>$385</w:t>
            </w:r>
          </w:p>
        </w:tc>
      </w:tr>
      <w:tr>
        <w:trPr>
          <w:trHeight w:val="321" w:hRule="atLeast"/>
        </w:trPr>
        <w:tc>
          <w:tcPr>
            <w:tcW w:w="3579" w:type="dxa"/>
            <w:shd w:val="clear" w:color="auto" w:fill="EFEFEF"/>
          </w:tcPr>
          <w:p>
            <w:pPr>
              <w:pStyle w:val="TableParagraph"/>
              <w:spacing w:line="240" w:lineRule="auto" w:before="5"/>
              <w:ind w:left="10" w:right="1"/>
              <w:rPr>
                <w:sz w:val="24"/>
              </w:rPr>
            </w:pPr>
            <w:r>
              <w:rPr>
                <w:sz w:val="24"/>
              </w:rPr>
              <w:t>2</w:t>
            </w:r>
            <w:r>
              <w:rPr>
                <w:spacing w:val="-1"/>
                <w:sz w:val="24"/>
              </w:rPr>
              <w:t> </w:t>
            </w:r>
            <w:r>
              <w:rPr>
                <w:sz w:val="24"/>
              </w:rPr>
              <w:t>or</w:t>
            </w:r>
            <w:r>
              <w:rPr>
                <w:spacing w:val="-1"/>
                <w:sz w:val="24"/>
              </w:rPr>
              <w:t> </w:t>
            </w:r>
            <w:r>
              <w:rPr>
                <w:spacing w:val="-4"/>
                <w:sz w:val="24"/>
              </w:rPr>
              <w:t>more</w:t>
            </w:r>
          </w:p>
        </w:tc>
        <w:tc>
          <w:tcPr>
            <w:tcW w:w="3579" w:type="dxa"/>
            <w:shd w:val="clear" w:color="auto" w:fill="EFEFEF"/>
          </w:tcPr>
          <w:p>
            <w:pPr>
              <w:pStyle w:val="TableParagraph"/>
              <w:spacing w:line="240" w:lineRule="auto" w:before="5"/>
              <w:ind w:left="10" w:right="1"/>
              <w:rPr>
                <w:sz w:val="24"/>
              </w:rPr>
            </w:pPr>
            <w:r>
              <w:rPr>
                <w:sz w:val="24"/>
              </w:rPr>
              <w:t>$0</w:t>
            </w:r>
            <w:r>
              <w:rPr>
                <w:spacing w:val="-2"/>
                <w:sz w:val="24"/>
              </w:rPr>
              <w:t> </w:t>
            </w:r>
            <w:r>
              <w:rPr>
                <w:sz w:val="24"/>
              </w:rPr>
              <w:t>-</w:t>
            </w:r>
            <w:r>
              <w:rPr>
                <w:spacing w:val="-1"/>
                <w:sz w:val="24"/>
              </w:rPr>
              <w:t> </w:t>
            </w:r>
            <w:r>
              <w:rPr>
                <w:spacing w:val="-4"/>
                <w:sz w:val="24"/>
              </w:rPr>
              <w:t>$700</w:t>
            </w:r>
          </w:p>
        </w:tc>
        <w:tc>
          <w:tcPr>
            <w:tcW w:w="3613" w:type="dxa"/>
            <w:shd w:val="clear" w:color="auto" w:fill="EFEFEF"/>
          </w:tcPr>
          <w:p>
            <w:pPr>
              <w:pStyle w:val="TableParagraph"/>
              <w:spacing w:line="240" w:lineRule="auto" w:before="5"/>
              <w:ind w:left="9"/>
              <w:rPr>
                <w:sz w:val="24"/>
              </w:rPr>
            </w:pPr>
            <w:r>
              <w:rPr>
                <w:spacing w:val="-4"/>
                <w:sz w:val="24"/>
              </w:rPr>
              <w:t>$650</w:t>
            </w:r>
          </w:p>
        </w:tc>
      </w:tr>
      <w:tr>
        <w:trPr>
          <w:trHeight w:val="321" w:hRule="atLeast"/>
        </w:trPr>
        <w:tc>
          <w:tcPr>
            <w:tcW w:w="3579" w:type="dxa"/>
          </w:tcPr>
          <w:p>
            <w:pPr>
              <w:pStyle w:val="TableParagraph"/>
              <w:spacing w:line="240" w:lineRule="auto" w:before="5"/>
              <w:ind w:left="10" w:right="1"/>
              <w:rPr>
                <w:sz w:val="24"/>
              </w:rPr>
            </w:pPr>
            <w:r>
              <w:rPr>
                <w:sz w:val="24"/>
              </w:rPr>
              <w:t>2</w:t>
            </w:r>
            <w:r>
              <w:rPr>
                <w:spacing w:val="-1"/>
                <w:sz w:val="24"/>
              </w:rPr>
              <w:t> </w:t>
            </w:r>
            <w:r>
              <w:rPr>
                <w:sz w:val="24"/>
              </w:rPr>
              <w:t>or</w:t>
            </w:r>
            <w:r>
              <w:rPr>
                <w:spacing w:val="-1"/>
                <w:sz w:val="24"/>
              </w:rPr>
              <w:t> </w:t>
            </w:r>
            <w:r>
              <w:rPr>
                <w:spacing w:val="-4"/>
                <w:sz w:val="24"/>
              </w:rPr>
              <w:t>more</w:t>
            </w:r>
          </w:p>
        </w:tc>
        <w:tc>
          <w:tcPr>
            <w:tcW w:w="3579" w:type="dxa"/>
          </w:tcPr>
          <w:p>
            <w:pPr>
              <w:pStyle w:val="TableParagraph"/>
              <w:spacing w:line="240" w:lineRule="auto" w:before="5"/>
              <w:ind w:left="10" w:right="1"/>
              <w:rPr>
                <w:sz w:val="24"/>
              </w:rPr>
            </w:pPr>
            <w:r>
              <w:rPr>
                <w:sz w:val="24"/>
              </w:rPr>
              <w:t>$701</w:t>
            </w:r>
            <w:r>
              <w:rPr>
                <w:spacing w:val="-3"/>
                <w:sz w:val="24"/>
              </w:rPr>
              <w:t> </w:t>
            </w:r>
            <w:r>
              <w:rPr>
                <w:sz w:val="24"/>
              </w:rPr>
              <w:t>-</w:t>
            </w:r>
            <w:r>
              <w:rPr>
                <w:spacing w:val="-3"/>
                <w:sz w:val="24"/>
              </w:rPr>
              <w:t> </w:t>
            </w:r>
            <w:r>
              <w:rPr>
                <w:spacing w:val="-2"/>
                <w:sz w:val="24"/>
              </w:rPr>
              <w:t>ineligible</w:t>
            </w:r>
          </w:p>
        </w:tc>
        <w:tc>
          <w:tcPr>
            <w:tcW w:w="3613" w:type="dxa"/>
          </w:tcPr>
          <w:p>
            <w:pPr>
              <w:pStyle w:val="TableParagraph"/>
              <w:spacing w:line="240" w:lineRule="auto" w:before="5"/>
              <w:ind w:left="9"/>
              <w:rPr>
                <w:sz w:val="24"/>
              </w:rPr>
            </w:pPr>
            <w:r>
              <w:rPr>
                <w:spacing w:val="-4"/>
                <w:sz w:val="24"/>
              </w:rPr>
              <w:t>$425</w:t>
            </w:r>
          </w:p>
        </w:tc>
      </w:tr>
    </w:tbl>
    <w:p>
      <w:pPr>
        <w:pStyle w:val="TableParagraph"/>
        <w:spacing w:after="0" w:line="240" w:lineRule="auto"/>
        <w:rPr>
          <w:sz w:val="24"/>
        </w:rPr>
        <w:sectPr>
          <w:footerReference w:type="default" r:id="rId5"/>
          <w:type w:val="continuous"/>
          <w:pgSz w:w="12240" w:h="15840"/>
          <w:pgMar w:header="0" w:footer="515" w:top="800" w:bottom="700" w:left="360" w:right="360"/>
          <w:pgNumType w:start="1"/>
        </w:sectPr>
      </w:pPr>
    </w:p>
    <w:p>
      <w:pPr>
        <w:pStyle w:val="BodyText"/>
        <w:tabs>
          <w:tab w:pos="7184" w:val="left" w:leader="none"/>
        </w:tabs>
        <w:spacing w:line="249" w:lineRule="auto" w:before="72"/>
        <w:ind w:left="460" w:right="504"/>
      </w:pPr>
      <w:r>
        <w:rPr/>
        <w:t>Payment amount for purchase or repair of cooling equipment:</w:t>
        <w:tab/>
        <w:t>actual</w:t>
      </w:r>
      <w:r>
        <w:rPr>
          <w:spacing w:val="-7"/>
        </w:rPr>
        <w:t> </w:t>
      </w:r>
      <w:r>
        <w:rPr/>
        <w:t>cost</w:t>
      </w:r>
      <w:r>
        <w:rPr>
          <w:spacing w:val="-7"/>
        </w:rPr>
        <w:t> </w:t>
      </w:r>
      <w:r>
        <w:rPr/>
        <w:t>of</w:t>
      </w:r>
      <w:r>
        <w:rPr>
          <w:spacing w:val="-7"/>
        </w:rPr>
        <w:t> </w:t>
      </w:r>
      <w:r>
        <w:rPr/>
        <w:t>purchase</w:t>
      </w:r>
      <w:r>
        <w:rPr>
          <w:spacing w:val="-7"/>
        </w:rPr>
        <w:t> </w:t>
      </w:r>
      <w:r>
        <w:rPr/>
        <w:t>or</w:t>
      </w:r>
      <w:r>
        <w:rPr>
          <w:spacing w:val="-7"/>
        </w:rPr>
        <w:t> </w:t>
      </w:r>
      <w:r>
        <w:rPr/>
        <w:t>repair</w:t>
      </w:r>
      <w:r>
        <w:rPr>
          <w:spacing w:val="-7"/>
        </w:rPr>
        <w:t> </w:t>
      </w:r>
      <w:r>
        <w:rPr/>
        <w:t>not to exceed $150 for all household sizes.</w:t>
      </w:r>
    </w:p>
    <w:p>
      <w:pPr>
        <w:pStyle w:val="Heading1"/>
        <w:tabs>
          <w:tab w:pos="11159" w:val="left" w:leader="none"/>
        </w:tabs>
        <w:spacing w:before="267"/>
      </w:pPr>
      <w:r>
        <w:rPr>
          <w:color w:val="FFFFFF"/>
          <w:spacing w:val="25"/>
          <w:shd w:fill="0080AA" w:color="auto" w:val="clear"/>
        </w:rPr>
        <w:t> </w:t>
      </w:r>
      <w:r>
        <w:rPr>
          <w:color w:val="FFFFFF"/>
          <w:shd w:fill="0080AA" w:color="auto" w:val="clear"/>
        </w:rPr>
        <w:t>Energy</w:t>
      </w:r>
      <w:r>
        <w:rPr>
          <w:color w:val="FFFFFF"/>
          <w:spacing w:val="-5"/>
          <w:shd w:fill="0080AA" w:color="auto" w:val="clear"/>
        </w:rPr>
        <w:t> </w:t>
      </w:r>
      <w:r>
        <w:rPr>
          <w:color w:val="FFFFFF"/>
          <w:shd w:fill="0080AA" w:color="auto" w:val="clear"/>
        </w:rPr>
        <w:t>Crisis</w:t>
      </w:r>
      <w:r>
        <w:rPr>
          <w:color w:val="FFFFFF"/>
          <w:spacing w:val="-4"/>
          <w:shd w:fill="0080AA" w:color="auto" w:val="clear"/>
        </w:rPr>
        <w:t> </w:t>
      </w:r>
      <w:r>
        <w:rPr>
          <w:color w:val="FFFFFF"/>
          <w:shd w:fill="0080AA" w:color="auto" w:val="clear"/>
        </w:rPr>
        <w:t>Assistance</w:t>
      </w:r>
      <w:r>
        <w:rPr>
          <w:color w:val="FFFFFF"/>
          <w:spacing w:val="-5"/>
          <w:shd w:fill="0080AA" w:color="auto" w:val="clear"/>
        </w:rPr>
        <w:t> </w:t>
      </w:r>
      <w:r>
        <w:rPr>
          <w:color w:val="FFFFFF"/>
          <w:shd w:fill="0080AA" w:color="auto" w:val="clear"/>
        </w:rPr>
        <w:t>Program</w:t>
      </w:r>
      <w:r>
        <w:rPr>
          <w:color w:val="FFFFFF"/>
          <w:spacing w:val="-4"/>
          <w:shd w:fill="0080AA" w:color="auto" w:val="clear"/>
        </w:rPr>
        <w:t> </w:t>
      </w:r>
      <w:r>
        <w:rPr>
          <w:color w:val="FFFFFF"/>
          <w:spacing w:val="-2"/>
          <w:shd w:fill="0080AA" w:color="auto" w:val="clear"/>
        </w:rPr>
        <w:t>(ECAP)</w:t>
      </w:r>
      <w:r>
        <w:rPr>
          <w:color w:val="FFFFFF"/>
          <w:shd w:fill="0080AA" w:color="auto" w:val="clear"/>
        </w:rPr>
        <w:tab/>
      </w:r>
    </w:p>
    <w:p>
      <w:pPr>
        <w:pStyle w:val="BodyText"/>
        <w:spacing w:line="249" w:lineRule="auto" w:before="88"/>
        <w:ind w:left="460" w:right="504" w:hanging="1"/>
      </w:pPr>
      <w:r>
        <w:rPr/>
        <w:t>Per </w:t>
      </w:r>
      <w:r>
        <w:rPr>
          <w:color w:val="0000FF"/>
          <w:u w:val="single" w:color="0000FF"/>
        </w:rPr>
        <w:t>OAC 340:20-1-17</w:t>
      </w:r>
      <w:r>
        <w:rPr>
          <w:u w:val="none"/>
        </w:rPr>
        <w:t>, ECAP has a regularly scheduled application period in March each year. ECAP funds are approved only to prevent disconnect, restore service, or provide a minimum delivery of propane or other heating fuel. ECAP may also be approved year round on a case-by- case basis for households experiencing an energy crisis that involves a verified life-threatening medical</w:t>
      </w:r>
      <w:r>
        <w:rPr>
          <w:spacing w:val="-3"/>
          <w:u w:val="none"/>
        </w:rPr>
        <w:t> </w:t>
      </w:r>
      <w:r>
        <w:rPr>
          <w:u w:val="none"/>
        </w:rPr>
        <w:t>crisis</w:t>
      </w:r>
      <w:r>
        <w:rPr>
          <w:spacing w:val="-3"/>
          <w:u w:val="none"/>
        </w:rPr>
        <w:t> </w:t>
      </w:r>
      <w:r>
        <w:rPr>
          <w:u w:val="none"/>
        </w:rPr>
        <w:t>and</w:t>
      </w:r>
      <w:r>
        <w:rPr>
          <w:spacing w:val="-3"/>
          <w:u w:val="none"/>
        </w:rPr>
        <w:t> </w:t>
      </w:r>
      <w:r>
        <w:rPr>
          <w:u w:val="none"/>
        </w:rPr>
        <w:t>when</w:t>
      </w:r>
      <w:r>
        <w:rPr>
          <w:spacing w:val="-3"/>
          <w:u w:val="none"/>
        </w:rPr>
        <w:t> </w:t>
      </w:r>
      <w:r>
        <w:rPr>
          <w:u w:val="none"/>
        </w:rPr>
        <w:t>a</w:t>
      </w:r>
      <w:r>
        <w:rPr>
          <w:spacing w:val="-3"/>
          <w:u w:val="none"/>
        </w:rPr>
        <w:t> </w:t>
      </w:r>
      <w:r>
        <w:rPr>
          <w:u w:val="none"/>
        </w:rPr>
        <w:t>federally</w:t>
      </w:r>
      <w:r>
        <w:rPr>
          <w:spacing w:val="-3"/>
          <w:u w:val="none"/>
        </w:rPr>
        <w:t> </w:t>
      </w:r>
      <w:r>
        <w:rPr>
          <w:u w:val="none"/>
        </w:rPr>
        <w:t>declared</w:t>
      </w:r>
      <w:r>
        <w:rPr>
          <w:spacing w:val="-3"/>
          <w:u w:val="none"/>
        </w:rPr>
        <w:t> </w:t>
      </w:r>
      <w:r>
        <w:rPr>
          <w:u w:val="none"/>
        </w:rPr>
        <w:t>disaster</w:t>
      </w:r>
      <w:r>
        <w:rPr>
          <w:spacing w:val="-3"/>
          <w:u w:val="none"/>
        </w:rPr>
        <w:t> </w:t>
      </w:r>
      <w:r>
        <w:rPr>
          <w:u w:val="none"/>
        </w:rPr>
        <w:t>occurs</w:t>
      </w:r>
      <w:r>
        <w:rPr>
          <w:spacing w:val="-3"/>
          <w:u w:val="none"/>
        </w:rPr>
        <w:t> </w:t>
      </w:r>
      <w:r>
        <w:rPr>
          <w:u w:val="none"/>
        </w:rPr>
        <w:t>and</w:t>
      </w:r>
      <w:r>
        <w:rPr>
          <w:spacing w:val="-3"/>
          <w:u w:val="none"/>
        </w:rPr>
        <w:t> </w:t>
      </w:r>
      <w:r>
        <w:rPr>
          <w:u w:val="none"/>
        </w:rPr>
        <w:t>disaster</w:t>
      </w:r>
      <w:r>
        <w:rPr>
          <w:spacing w:val="-3"/>
          <w:u w:val="none"/>
        </w:rPr>
        <w:t> </w:t>
      </w:r>
      <w:r>
        <w:rPr>
          <w:u w:val="none"/>
        </w:rPr>
        <w:t>LIHEAP</w:t>
      </w:r>
      <w:r>
        <w:rPr>
          <w:spacing w:val="-3"/>
          <w:u w:val="none"/>
        </w:rPr>
        <w:t> </w:t>
      </w:r>
      <w:r>
        <w:rPr>
          <w:u w:val="none"/>
        </w:rPr>
        <w:t>is</w:t>
      </w:r>
      <w:r>
        <w:rPr>
          <w:spacing w:val="-3"/>
          <w:u w:val="none"/>
        </w:rPr>
        <w:t> </w:t>
      </w:r>
      <w:r>
        <w:rPr>
          <w:u w:val="none"/>
        </w:rPr>
        <w:t>authorized</w:t>
      </w:r>
      <w:r>
        <w:rPr>
          <w:spacing w:val="-3"/>
          <w:u w:val="none"/>
        </w:rPr>
        <w:t> </w:t>
      </w:r>
      <w:r>
        <w:rPr>
          <w:u w:val="none"/>
        </w:rPr>
        <w:t>by the Administration for Children and Families Office of Community Services. When the household applies for ECAP more than once in the same fiscal year, the maximum benefit for all applications combined cannot exceed the amount shown below.</w:t>
      </w:r>
    </w:p>
    <w:p>
      <w:pPr>
        <w:pStyle w:val="BodyText"/>
        <w:spacing w:before="106"/>
        <w:rPr>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66"/>
        <w:gridCol w:w="3546"/>
        <w:gridCol w:w="3681"/>
      </w:tblGrid>
      <w:tr>
        <w:trPr>
          <w:trHeight w:val="422" w:hRule="atLeast"/>
        </w:trPr>
        <w:tc>
          <w:tcPr>
            <w:tcW w:w="3566" w:type="dxa"/>
          </w:tcPr>
          <w:p>
            <w:pPr>
              <w:pStyle w:val="TableParagraph"/>
              <w:spacing w:line="240" w:lineRule="auto" w:before="55"/>
              <w:ind w:left="9"/>
              <w:rPr>
                <w:b/>
                <w:sz w:val="24"/>
              </w:rPr>
            </w:pPr>
            <w:r>
              <w:rPr>
                <w:b/>
                <w:sz w:val="24"/>
              </w:rPr>
              <w:t>Household</w:t>
            </w:r>
            <w:r>
              <w:rPr>
                <w:b/>
                <w:spacing w:val="-14"/>
                <w:sz w:val="24"/>
              </w:rPr>
              <w:t> </w:t>
            </w:r>
            <w:r>
              <w:rPr>
                <w:b/>
                <w:spacing w:val="-4"/>
                <w:sz w:val="24"/>
              </w:rPr>
              <w:t>size</w:t>
            </w:r>
          </w:p>
        </w:tc>
        <w:tc>
          <w:tcPr>
            <w:tcW w:w="3546" w:type="dxa"/>
          </w:tcPr>
          <w:p>
            <w:pPr>
              <w:pStyle w:val="TableParagraph"/>
              <w:spacing w:line="240" w:lineRule="auto" w:before="55"/>
              <w:ind w:left="8"/>
              <w:rPr>
                <w:b/>
                <w:sz w:val="24"/>
              </w:rPr>
            </w:pPr>
            <w:r>
              <w:rPr>
                <w:b/>
                <w:spacing w:val="-2"/>
                <w:sz w:val="24"/>
              </w:rPr>
              <w:t>Income</w:t>
            </w:r>
          </w:p>
        </w:tc>
        <w:tc>
          <w:tcPr>
            <w:tcW w:w="3681" w:type="dxa"/>
          </w:tcPr>
          <w:p>
            <w:pPr>
              <w:pStyle w:val="TableParagraph"/>
              <w:spacing w:line="240" w:lineRule="auto" w:before="55"/>
              <w:ind w:left="965"/>
              <w:jc w:val="left"/>
              <w:rPr>
                <w:b/>
                <w:sz w:val="24"/>
              </w:rPr>
            </w:pPr>
            <w:r>
              <w:rPr>
                <w:b/>
                <w:sz w:val="24"/>
              </w:rPr>
              <w:t>Benefit</w:t>
            </w:r>
            <w:r>
              <w:rPr>
                <w:b/>
                <w:spacing w:val="-9"/>
                <w:sz w:val="24"/>
              </w:rPr>
              <w:t> </w:t>
            </w:r>
            <w:r>
              <w:rPr>
                <w:b/>
                <w:spacing w:val="-2"/>
                <w:sz w:val="24"/>
              </w:rPr>
              <w:t>amount</w:t>
            </w:r>
          </w:p>
        </w:tc>
      </w:tr>
      <w:tr>
        <w:trPr>
          <w:trHeight w:val="897" w:hRule="atLeast"/>
        </w:trPr>
        <w:tc>
          <w:tcPr>
            <w:tcW w:w="3566" w:type="dxa"/>
            <w:shd w:val="clear" w:color="auto" w:fill="EFEFEF"/>
          </w:tcPr>
          <w:p>
            <w:pPr>
              <w:pStyle w:val="TableParagraph"/>
              <w:spacing w:line="240" w:lineRule="auto" w:before="17"/>
              <w:ind w:left="0"/>
              <w:jc w:val="left"/>
              <w:rPr>
                <w:sz w:val="24"/>
              </w:rPr>
            </w:pPr>
          </w:p>
          <w:p>
            <w:pPr>
              <w:pStyle w:val="TableParagraph"/>
              <w:spacing w:line="240" w:lineRule="auto"/>
              <w:ind w:left="9"/>
              <w:rPr>
                <w:sz w:val="24"/>
              </w:rPr>
            </w:pPr>
            <w:r>
              <w:rPr>
                <w:sz w:val="24"/>
              </w:rPr>
              <w:t>1</w:t>
            </w:r>
            <w:r>
              <w:rPr>
                <w:spacing w:val="-1"/>
                <w:sz w:val="24"/>
              </w:rPr>
              <w:t> </w:t>
            </w:r>
            <w:r>
              <w:rPr>
                <w:sz w:val="24"/>
              </w:rPr>
              <w:t>or</w:t>
            </w:r>
            <w:r>
              <w:rPr>
                <w:spacing w:val="-1"/>
                <w:sz w:val="24"/>
              </w:rPr>
              <w:t> </w:t>
            </w:r>
            <w:r>
              <w:rPr>
                <w:spacing w:val="-4"/>
                <w:sz w:val="24"/>
              </w:rPr>
              <w:t>more</w:t>
            </w:r>
          </w:p>
        </w:tc>
        <w:tc>
          <w:tcPr>
            <w:tcW w:w="3546" w:type="dxa"/>
            <w:shd w:val="clear" w:color="auto" w:fill="EFEFEF"/>
          </w:tcPr>
          <w:p>
            <w:pPr>
              <w:pStyle w:val="TableParagraph"/>
              <w:spacing w:line="240" w:lineRule="auto" w:before="17"/>
              <w:ind w:left="0"/>
              <w:jc w:val="left"/>
              <w:rPr>
                <w:sz w:val="24"/>
              </w:rPr>
            </w:pPr>
          </w:p>
          <w:p>
            <w:pPr>
              <w:pStyle w:val="TableParagraph"/>
              <w:spacing w:line="240" w:lineRule="auto"/>
              <w:ind w:left="8"/>
              <w:rPr>
                <w:sz w:val="24"/>
              </w:rPr>
            </w:pPr>
            <w:r>
              <w:rPr>
                <w:sz w:val="24"/>
              </w:rPr>
              <w:t>$0</w:t>
            </w:r>
            <w:r>
              <w:rPr>
                <w:spacing w:val="-2"/>
                <w:sz w:val="24"/>
              </w:rPr>
              <w:t> </w:t>
            </w:r>
            <w:r>
              <w:rPr>
                <w:sz w:val="24"/>
              </w:rPr>
              <w:t>-</w:t>
            </w:r>
            <w:r>
              <w:rPr>
                <w:spacing w:val="-1"/>
                <w:sz w:val="24"/>
              </w:rPr>
              <w:t> </w:t>
            </w:r>
            <w:r>
              <w:rPr>
                <w:spacing w:val="-2"/>
                <w:sz w:val="24"/>
              </w:rPr>
              <w:t>ineligible</w:t>
            </w:r>
          </w:p>
        </w:tc>
        <w:tc>
          <w:tcPr>
            <w:tcW w:w="3681" w:type="dxa"/>
            <w:shd w:val="clear" w:color="auto" w:fill="EFEFEF"/>
          </w:tcPr>
          <w:p>
            <w:pPr>
              <w:pStyle w:val="TableParagraph"/>
              <w:spacing w:line="249" w:lineRule="auto" w:before="5"/>
              <w:ind w:left="9"/>
              <w:rPr>
                <w:sz w:val="24"/>
              </w:rPr>
            </w:pPr>
            <w:r>
              <w:rPr>
                <w:sz w:val="24"/>
              </w:rPr>
              <w:t>Minimum amount necessary to prevent</w:t>
            </w:r>
            <w:r>
              <w:rPr>
                <w:spacing w:val="-10"/>
                <w:sz w:val="24"/>
              </w:rPr>
              <w:t> </w:t>
            </w:r>
            <w:r>
              <w:rPr>
                <w:sz w:val="24"/>
              </w:rPr>
              <w:t>cutoff</w:t>
            </w:r>
            <w:r>
              <w:rPr>
                <w:spacing w:val="-10"/>
                <w:sz w:val="24"/>
              </w:rPr>
              <w:t> </w:t>
            </w:r>
            <w:r>
              <w:rPr>
                <w:sz w:val="24"/>
              </w:rPr>
              <w:t>or</w:t>
            </w:r>
            <w:r>
              <w:rPr>
                <w:spacing w:val="-10"/>
                <w:sz w:val="24"/>
              </w:rPr>
              <w:t> </w:t>
            </w:r>
            <w:r>
              <w:rPr>
                <w:sz w:val="24"/>
              </w:rPr>
              <w:t>restore</w:t>
            </w:r>
            <w:r>
              <w:rPr>
                <w:spacing w:val="-10"/>
                <w:sz w:val="24"/>
              </w:rPr>
              <w:t> </w:t>
            </w:r>
            <w:r>
              <w:rPr>
                <w:sz w:val="24"/>
              </w:rPr>
              <w:t>services up to $750</w:t>
            </w:r>
          </w:p>
        </w:tc>
      </w:tr>
    </w:tbl>
    <w:sectPr>
      <w:pgSz w:w="12240" w:h="15840"/>
      <w:pgMar w:header="0" w:footer="515" w:top="640" w:bottom="7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6048">
              <wp:simplePos x="0" y="0"/>
              <wp:positionH relativeFrom="page">
                <wp:posOffset>457238</wp:posOffset>
              </wp:positionH>
              <wp:positionV relativeFrom="page">
                <wp:posOffset>9553358</wp:posOffset>
              </wp:positionV>
              <wp:extent cx="6858000" cy="3619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858000" cy="36195"/>
                      </a:xfrm>
                      <a:custGeom>
                        <a:avLst/>
                        <a:gdLst/>
                        <a:ahLst/>
                        <a:cxnLst/>
                        <a:rect l="l" t="t" r="r" b="b"/>
                        <a:pathLst>
                          <a:path w="6858000" h="36195">
                            <a:moveTo>
                              <a:pt x="6858000" y="0"/>
                            </a:moveTo>
                            <a:lnTo>
                              <a:pt x="0" y="0"/>
                            </a:lnTo>
                            <a:lnTo>
                              <a:pt x="0" y="36004"/>
                            </a:lnTo>
                            <a:lnTo>
                              <a:pt x="6858000" y="36004"/>
                            </a:lnTo>
                            <a:lnTo>
                              <a:pt x="6858000" y="0"/>
                            </a:lnTo>
                            <a:close/>
                          </a:path>
                        </a:pathLst>
                      </a:custGeom>
                      <a:solidFill>
                        <a:srgbClr val="0080AA"/>
                      </a:solidFill>
                    </wps:spPr>
                    <wps:bodyPr wrap="square" lIns="0" tIns="0" rIns="0" bIns="0" rtlCol="0">
                      <a:prstTxWarp prst="textNoShape">
                        <a:avLst/>
                      </a:prstTxWarp>
                      <a:noAutofit/>
                    </wps:bodyPr>
                  </wps:wsp>
                </a:graphicData>
              </a:graphic>
            </wp:anchor>
          </w:drawing>
        </mc:Choice>
        <mc:Fallback>
          <w:pict>
            <v:rect style="position:absolute;margin-left:36.002998pt;margin-top:752.232971pt;width:540pt;height:2.835pt;mso-position-horizontal-relative:page;mso-position-vertical-relative:page;z-index:-15890432" id="docshape1" filled="true" fillcolor="#0080aa" stroked="false">
              <v:fill type="solid"/>
              <w10:wrap type="none"/>
            </v:rect>
          </w:pict>
        </mc:Fallback>
      </mc:AlternateContent>
    </w:r>
    <w:r>
      <w:rPr>
        <w:sz w:val="20"/>
      </w:rPr>
      <mc:AlternateContent>
        <mc:Choice Requires="wps">
          <w:drawing>
            <wp:anchor distT="0" distB="0" distL="0" distR="0" allowOverlap="1" layoutInCell="1" locked="0" behindDoc="1" simplePos="0" relativeHeight="487426560">
              <wp:simplePos x="0" y="0"/>
              <wp:positionH relativeFrom="page">
                <wp:posOffset>6582282</wp:posOffset>
              </wp:positionH>
              <wp:positionV relativeFrom="page">
                <wp:posOffset>9592529</wp:posOffset>
              </wp:positionV>
              <wp:extent cx="67564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75640" cy="167640"/>
                      </a:xfrm>
                      <a:prstGeom prst="rect">
                        <a:avLst/>
                      </a:prstGeom>
                    </wps:spPr>
                    <wps:txbx>
                      <w:txbxContent>
                        <w:p>
                          <w:pPr>
                            <w:spacing w:before="13"/>
                            <w:ind w:left="20" w:right="0" w:firstLine="0"/>
                            <w:jc w:val="left"/>
                            <w:rPr>
                              <w:sz w:val="20"/>
                            </w:rPr>
                          </w:pPr>
                          <w:r>
                            <w:rPr>
                              <w:sz w:val="20"/>
                            </w:rPr>
                            <w:t>Page</w:t>
                          </w:r>
                          <w:r>
                            <w:rPr>
                              <w:spacing w:val="-2"/>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1"/>
                              <w:sz w:val="20"/>
                            </w:rPr>
                            <w:t> </w:t>
                          </w:r>
                          <w:r>
                            <w:rPr>
                              <w:sz w:val="20"/>
                            </w:rPr>
                            <w:t>of</w:t>
                          </w:r>
                          <w:r>
                            <w:rPr>
                              <w:spacing w:val="-2"/>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8.289978pt;margin-top:755.317261pt;width:53.2pt;height:13.2pt;mso-position-horizontal-relative:page;mso-position-vertical-relative:page;z-index:-15889920" type="#_x0000_t202" id="docshape2" filled="false" stroked="false">
              <v:textbox inset="0,0,0,0">
                <w:txbxContent>
                  <w:p>
                    <w:pPr>
                      <w:spacing w:before="13"/>
                      <w:ind w:left="20" w:right="0" w:firstLine="0"/>
                      <w:jc w:val="left"/>
                      <w:rPr>
                        <w:sz w:val="20"/>
                      </w:rPr>
                    </w:pPr>
                    <w:r>
                      <w:rPr>
                        <w:sz w:val="20"/>
                      </w:rPr>
                      <w:t>Page</w:t>
                    </w:r>
                    <w:r>
                      <w:rPr>
                        <w:spacing w:val="-2"/>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1"/>
                        <w:sz w:val="20"/>
                      </w:rPr>
                      <w:t> </w:t>
                    </w:r>
                    <w:r>
                      <w:rPr>
                        <w:sz w:val="20"/>
                      </w:rPr>
                      <w:t>of</w:t>
                    </w:r>
                    <w:r>
                      <w:rPr>
                        <w:spacing w:val="-2"/>
                        <w:sz w:val="20"/>
                      </w:rPr>
                      <w:t> </w:t>
                    </w:r>
                    <w:r>
                      <w:rPr>
                        <w:spacing w:val="-10"/>
                        <w:sz w:val="20"/>
                      </w:rPr>
                      <w:fldChar w:fldCharType="begin"/>
                    </w:r>
                    <w:r>
                      <w:rPr>
                        <w:spacing w:val="-10"/>
                        <w:sz w:val="20"/>
                      </w:rPr>
                      <w:instrText> NUMPAGES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427072">
              <wp:simplePos x="0" y="0"/>
              <wp:positionH relativeFrom="page">
                <wp:posOffset>462495</wp:posOffset>
              </wp:positionH>
              <wp:positionV relativeFrom="page">
                <wp:posOffset>9610525</wp:posOffset>
              </wp:positionV>
              <wp:extent cx="922019"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22019" cy="167640"/>
                      </a:xfrm>
                      <a:prstGeom prst="rect">
                        <a:avLst/>
                      </a:prstGeom>
                    </wps:spPr>
                    <wps:txbx>
                      <w:txbxContent>
                        <w:p>
                          <w:pPr>
                            <w:spacing w:before="13"/>
                            <w:ind w:left="20" w:right="0" w:firstLine="0"/>
                            <w:jc w:val="left"/>
                            <w:rPr>
                              <w:sz w:val="20"/>
                            </w:rPr>
                          </w:pPr>
                          <w:r>
                            <w:rPr>
                              <w:sz w:val="20"/>
                            </w:rPr>
                            <w:t>Appendix</w:t>
                          </w:r>
                          <w:r>
                            <w:rPr>
                              <w:spacing w:val="-4"/>
                              <w:sz w:val="20"/>
                            </w:rPr>
                            <w:t> </w:t>
                          </w:r>
                          <w:r>
                            <w:rPr>
                              <w:sz w:val="20"/>
                            </w:rPr>
                            <w:t>C-7-</w:t>
                          </w:r>
                          <w:r>
                            <w:rPr>
                              <w:spacing w:val="-10"/>
                              <w:sz w:val="20"/>
                            </w:rPr>
                            <w:t>A</w:t>
                          </w:r>
                        </w:p>
                      </w:txbxContent>
                    </wps:txbx>
                    <wps:bodyPr wrap="square" lIns="0" tIns="0" rIns="0" bIns="0" rtlCol="0">
                      <a:noAutofit/>
                    </wps:bodyPr>
                  </wps:wsp>
                </a:graphicData>
              </a:graphic>
            </wp:anchor>
          </w:drawing>
        </mc:Choice>
        <mc:Fallback>
          <w:pict>
            <v:shape style="position:absolute;margin-left:36.417pt;margin-top:756.734253pt;width:72.6pt;height:13.2pt;mso-position-horizontal-relative:page;mso-position-vertical-relative:page;z-index:-15889408" type="#_x0000_t202" id="docshape3" filled="false" stroked="false">
              <v:textbox inset="0,0,0,0">
                <w:txbxContent>
                  <w:p>
                    <w:pPr>
                      <w:spacing w:before="13"/>
                      <w:ind w:left="20" w:right="0" w:firstLine="0"/>
                      <w:jc w:val="left"/>
                      <w:rPr>
                        <w:sz w:val="20"/>
                      </w:rPr>
                    </w:pPr>
                    <w:r>
                      <w:rPr>
                        <w:sz w:val="20"/>
                      </w:rPr>
                      <w:t>Appendix</w:t>
                    </w:r>
                    <w:r>
                      <w:rPr>
                        <w:spacing w:val="-4"/>
                        <w:sz w:val="20"/>
                      </w:rPr>
                      <w:t> </w:t>
                    </w:r>
                    <w:r>
                      <w:rPr>
                        <w:sz w:val="20"/>
                      </w:rPr>
                      <w:t>C-7-</w:t>
                    </w:r>
                    <w:r>
                      <w:rPr>
                        <w:spacing w:val="-10"/>
                        <w:sz w:val="20"/>
                      </w:rPr>
                      <w:t>A</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27584">
              <wp:simplePos x="0" y="0"/>
              <wp:positionH relativeFrom="page">
                <wp:posOffset>3591013</wp:posOffset>
              </wp:positionH>
              <wp:positionV relativeFrom="page">
                <wp:posOffset>9610525</wp:posOffset>
              </wp:positionV>
              <wp:extent cx="59055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90550" cy="167640"/>
                      </a:xfrm>
                      <a:prstGeom prst="rect">
                        <a:avLst/>
                      </a:prstGeom>
                    </wps:spPr>
                    <wps:txbx>
                      <w:txbxContent>
                        <w:p>
                          <w:pPr>
                            <w:spacing w:before="13"/>
                            <w:ind w:left="20" w:right="0" w:firstLine="0"/>
                            <w:jc w:val="left"/>
                            <w:rPr>
                              <w:sz w:val="20"/>
                            </w:rPr>
                          </w:pPr>
                          <w:r>
                            <w:rPr>
                              <w:spacing w:val="-2"/>
                              <w:sz w:val="20"/>
                            </w:rPr>
                            <w:t>10/1/2021</w:t>
                          </w:r>
                        </w:p>
                      </w:txbxContent>
                    </wps:txbx>
                    <wps:bodyPr wrap="square" lIns="0" tIns="0" rIns="0" bIns="0" rtlCol="0">
                      <a:noAutofit/>
                    </wps:bodyPr>
                  </wps:wsp>
                </a:graphicData>
              </a:graphic>
            </wp:anchor>
          </w:drawing>
        </mc:Choice>
        <mc:Fallback>
          <w:pict>
            <v:shape style="position:absolute;margin-left:282.756989pt;margin-top:756.734253pt;width:46.5pt;height:13.2pt;mso-position-horizontal-relative:page;mso-position-vertical-relative:page;z-index:-15888896" type="#_x0000_t202" id="docshape4" filled="false" stroked="false">
              <v:textbox inset="0,0,0,0">
                <w:txbxContent>
                  <w:p>
                    <w:pPr>
                      <w:spacing w:before="13"/>
                      <w:ind w:left="20" w:right="0" w:firstLine="0"/>
                      <w:jc w:val="left"/>
                      <w:rPr>
                        <w:sz w:val="20"/>
                      </w:rPr>
                    </w:pPr>
                    <w:r>
                      <w:rPr>
                        <w:spacing w:val="-2"/>
                        <w:sz w:val="20"/>
                      </w:rPr>
                      <w:t>10/1/2021</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360"/>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67" w:lineRule="exact"/>
      <w:ind w:left="11"/>
      <w:jc w:val="center"/>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OKDHS</dc:creator>
  <dcterms:created xsi:type="dcterms:W3CDTF">2025-07-24T17:22:39Z</dcterms:created>
  <dcterms:modified xsi:type="dcterms:W3CDTF">2025-07-24T17:22:39Z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LiveCycle Designer 11.0</vt:lpwstr>
  </property>
  <property fmtid="{D5CDD505-2E9C-101B-9397-08002B2CF9AE}" pid="4" name="LastSaved">
    <vt:filetime>2025-07-24T00:00:00Z</vt:filetime>
  </property>
  <property fmtid="{D5CDD505-2E9C-101B-9397-08002B2CF9AE}" pid="5" name="Producer">
    <vt:lpwstr>Adobe LiveCycle Designer 11.0</vt:lpwstr>
  </property>
</Properties>
</file>